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481AE5" w14:paraId="45000643" w14:textId="77777777">
        <w:tblPrEx>
          <w:tblCellMar>
            <w:top w:w="0" w:type="dxa"/>
            <w:bottom w:w="0" w:type="dxa"/>
          </w:tblCellMar>
        </w:tblPrEx>
        <w:trPr>
          <w:tblCellSpacing w:w="60" w:type="dxa"/>
        </w:trPr>
        <w:tc>
          <w:tcPr>
            <w:tcW w:w="1200" w:type="pct"/>
            <w:shd w:val="clear" w:color="auto" w:fill="E7F0F9"/>
          </w:tcPr>
          <w:p w14:paraId="0CD70FF1" w14:textId="77777777" w:rsidR="00481AE5" w:rsidRDefault="00000000">
            <w:pPr>
              <w:spacing w:after="0" w:line="240" w:lineRule="auto"/>
            </w:pPr>
            <w:r>
              <w:rPr>
                <w:b/>
              </w:rPr>
              <w:t>RKP broj</w:t>
            </w:r>
          </w:p>
        </w:tc>
        <w:tc>
          <w:tcPr>
            <w:tcW w:w="0" w:type="auto"/>
            <w:shd w:val="clear" w:color="auto" w:fill="E7F0F9"/>
          </w:tcPr>
          <w:p w14:paraId="318B386A" w14:textId="77777777" w:rsidR="00481AE5" w:rsidRDefault="00000000">
            <w:pPr>
              <w:spacing w:after="0" w:line="240" w:lineRule="auto"/>
            </w:pPr>
            <w:r>
              <w:t>51271</w:t>
            </w:r>
          </w:p>
        </w:tc>
      </w:tr>
      <w:tr w:rsidR="00481AE5" w14:paraId="44634338" w14:textId="77777777">
        <w:tblPrEx>
          <w:tblCellMar>
            <w:top w:w="0" w:type="dxa"/>
            <w:bottom w:w="0" w:type="dxa"/>
          </w:tblCellMar>
        </w:tblPrEx>
        <w:trPr>
          <w:tblCellSpacing w:w="60" w:type="dxa"/>
        </w:trPr>
        <w:tc>
          <w:tcPr>
            <w:tcW w:w="1200" w:type="pct"/>
            <w:shd w:val="clear" w:color="auto" w:fill="E7F0F9"/>
          </w:tcPr>
          <w:p w14:paraId="2CFD0452" w14:textId="77777777" w:rsidR="00481AE5" w:rsidRDefault="00000000">
            <w:pPr>
              <w:spacing w:after="0" w:line="240" w:lineRule="auto"/>
            </w:pPr>
            <w:r>
              <w:rPr>
                <w:b/>
              </w:rPr>
              <w:t>Naziv obveznika</w:t>
            </w:r>
          </w:p>
        </w:tc>
        <w:tc>
          <w:tcPr>
            <w:tcW w:w="0" w:type="auto"/>
            <w:shd w:val="clear" w:color="auto" w:fill="E7F0F9"/>
          </w:tcPr>
          <w:p w14:paraId="019B7850" w14:textId="77777777" w:rsidR="00481AE5" w:rsidRDefault="00000000">
            <w:pPr>
              <w:spacing w:after="0" w:line="240" w:lineRule="auto"/>
            </w:pPr>
            <w:r>
              <w:t>LUČKA UPRAVA ZADAR</w:t>
            </w:r>
          </w:p>
        </w:tc>
      </w:tr>
      <w:tr w:rsidR="00481AE5" w14:paraId="1615041D" w14:textId="77777777">
        <w:tblPrEx>
          <w:tblCellMar>
            <w:top w:w="0" w:type="dxa"/>
            <w:bottom w:w="0" w:type="dxa"/>
          </w:tblCellMar>
        </w:tblPrEx>
        <w:trPr>
          <w:tblCellSpacing w:w="60" w:type="dxa"/>
        </w:trPr>
        <w:tc>
          <w:tcPr>
            <w:tcW w:w="1200" w:type="pct"/>
            <w:shd w:val="clear" w:color="auto" w:fill="E7F0F9"/>
          </w:tcPr>
          <w:p w14:paraId="2F1690FD" w14:textId="77777777" w:rsidR="00481AE5" w:rsidRDefault="00000000">
            <w:pPr>
              <w:spacing w:after="0" w:line="240" w:lineRule="auto"/>
            </w:pPr>
            <w:r>
              <w:rPr>
                <w:b/>
              </w:rPr>
              <w:t>Razina</w:t>
            </w:r>
          </w:p>
        </w:tc>
        <w:tc>
          <w:tcPr>
            <w:tcW w:w="0" w:type="auto"/>
            <w:shd w:val="clear" w:color="auto" w:fill="E7F0F9"/>
          </w:tcPr>
          <w:p w14:paraId="0FC51075" w14:textId="77777777" w:rsidR="00481AE5" w:rsidRDefault="00000000">
            <w:pPr>
              <w:spacing w:after="0" w:line="240" w:lineRule="auto"/>
            </w:pPr>
            <w:r>
              <w:t>11</w:t>
            </w:r>
          </w:p>
        </w:tc>
      </w:tr>
    </w:tbl>
    <w:p w14:paraId="3F4B9B6F" w14:textId="77777777" w:rsidR="00481AE5" w:rsidRDefault="00000000">
      <w:r>
        <w:br/>
      </w:r>
    </w:p>
    <w:p w14:paraId="5296D56D" w14:textId="77777777" w:rsidR="00481AE5" w:rsidRDefault="00000000">
      <w:pPr>
        <w:spacing w:line="240" w:lineRule="auto"/>
        <w:jc w:val="center"/>
      </w:pPr>
      <w:r>
        <w:rPr>
          <w:b/>
          <w:sz w:val="28"/>
        </w:rPr>
        <w:t>BILJEŠKE UZ FINANCIJSKE IZVJEŠTAJE</w:t>
      </w:r>
    </w:p>
    <w:p w14:paraId="7F86AA35" w14:textId="77777777" w:rsidR="00481AE5" w:rsidRDefault="00000000">
      <w:pPr>
        <w:spacing w:line="240" w:lineRule="auto"/>
        <w:jc w:val="center"/>
      </w:pPr>
      <w:r>
        <w:rPr>
          <w:b/>
          <w:sz w:val="28"/>
        </w:rPr>
        <w:t>ZA RAZDOBLJE</w:t>
      </w:r>
    </w:p>
    <w:p w14:paraId="6C3CBDDE" w14:textId="77777777" w:rsidR="00481AE5" w:rsidRDefault="00000000">
      <w:pPr>
        <w:spacing w:line="240" w:lineRule="auto"/>
        <w:jc w:val="center"/>
      </w:pPr>
      <w:r>
        <w:rPr>
          <w:b/>
          <w:sz w:val="28"/>
        </w:rPr>
        <w:t>I - XII 2025.</w:t>
      </w:r>
    </w:p>
    <w:p w14:paraId="714CEF59" w14:textId="77777777" w:rsidR="00481AE5" w:rsidRDefault="00481AE5"/>
    <w:p w14:paraId="2F87135B" w14:textId="77777777" w:rsidR="00481AE5" w:rsidRDefault="00000000">
      <w:pPr>
        <w:keepNext/>
        <w:spacing w:line="240" w:lineRule="auto"/>
        <w:jc w:val="center"/>
      </w:pPr>
      <w:r>
        <w:rPr>
          <w:b/>
          <w:sz w:val="28"/>
        </w:rPr>
        <w:t>Izvještaj o prihodima i rashodima, primicima i izdacima</w:t>
      </w:r>
    </w:p>
    <w:p w14:paraId="6BFE64CB" w14:textId="77777777" w:rsidR="00481AE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037164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6DBEAD"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38C14D"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5C6144"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0C53AE"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F31C4A"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913A2B" w14:textId="77777777" w:rsidR="00481AE5" w:rsidRDefault="00000000">
            <w:pPr>
              <w:keepNext/>
              <w:keepLines/>
              <w:spacing w:after="0" w:line="240" w:lineRule="auto"/>
              <w:jc w:val="center"/>
            </w:pPr>
            <w:r>
              <w:rPr>
                <w:b/>
                <w:sz w:val="18"/>
              </w:rPr>
              <w:t>Indeks (%)</w:t>
            </w:r>
          </w:p>
        </w:tc>
      </w:tr>
      <w:tr w:rsidR="00481AE5" w14:paraId="0C77B352" w14:textId="77777777">
        <w:tblPrEx>
          <w:tblCellMar>
            <w:top w:w="0" w:type="dxa"/>
            <w:bottom w:w="0" w:type="dxa"/>
          </w:tblCellMar>
        </w:tblPrEx>
        <w:trPr>
          <w:cantSplit/>
          <w:trHeight w:val="560"/>
        </w:trPr>
        <w:tc>
          <w:tcPr>
            <w:tcW w:w="700" w:type="dxa"/>
            <w:tcMar>
              <w:top w:w="0" w:type="dxa"/>
              <w:bottom w:w="0" w:type="dxa"/>
            </w:tcMar>
            <w:vAlign w:val="center"/>
          </w:tcPr>
          <w:p w14:paraId="30183E29" w14:textId="77777777" w:rsidR="00481AE5" w:rsidRDefault="00000000">
            <w:pPr>
              <w:keepNext/>
              <w:keepLines/>
              <w:spacing w:after="0" w:line="240" w:lineRule="auto"/>
            </w:pPr>
            <w:r>
              <w:rPr>
                <w:sz w:val="18"/>
              </w:rPr>
              <w:t>6</w:t>
            </w:r>
          </w:p>
        </w:tc>
        <w:tc>
          <w:tcPr>
            <w:tcW w:w="3180" w:type="dxa"/>
            <w:tcMar>
              <w:top w:w="0" w:type="dxa"/>
              <w:bottom w:w="0" w:type="dxa"/>
            </w:tcMar>
            <w:vAlign w:val="center"/>
          </w:tcPr>
          <w:p w14:paraId="2D1572E7" w14:textId="77777777" w:rsidR="00481AE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AE5D0C0" w14:textId="77777777" w:rsidR="00481AE5" w:rsidRDefault="00000000">
            <w:pPr>
              <w:keepNext/>
              <w:keepLines/>
              <w:spacing w:after="0" w:line="240" w:lineRule="auto"/>
            </w:pPr>
            <w:r>
              <w:rPr>
                <w:sz w:val="18"/>
              </w:rPr>
              <w:t>6</w:t>
            </w:r>
          </w:p>
        </w:tc>
        <w:tc>
          <w:tcPr>
            <w:tcW w:w="1860" w:type="dxa"/>
            <w:tcMar>
              <w:top w:w="0" w:type="dxa"/>
              <w:bottom w:w="0" w:type="dxa"/>
            </w:tcMar>
            <w:vAlign w:val="center"/>
          </w:tcPr>
          <w:p w14:paraId="4D861E81" w14:textId="77777777" w:rsidR="00481AE5" w:rsidRDefault="00000000">
            <w:pPr>
              <w:keepNext/>
              <w:keepLines/>
              <w:spacing w:after="0" w:line="240" w:lineRule="auto"/>
              <w:jc w:val="right"/>
            </w:pPr>
            <w:r>
              <w:rPr>
                <w:sz w:val="18"/>
              </w:rPr>
              <w:t>15.189.281,10</w:t>
            </w:r>
          </w:p>
        </w:tc>
        <w:tc>
          <w:tcPr>
            <w:tcW w:w="1860" w:type="dxa"/>
            <w:tcMar>
              <w:top w:w="0" w:type="dxa"/>
              <w:bottom w:w="0" w:type="dxa"/>
            </w:tcMar>
            <w:vAlign w:val="center"/>
          </w:tcPr>
          <w:p w14:paraId="2D4D2304" w14:textId="77777777" w:rsidR="00481AE5" w:rsidRDefault="00000000">
            <w:pPr>
              <w:keepNext/>
              <w:keepLines/>
              <w:spacing w:after="0" w:line="240" w:lineRule="auto"/>
              <w:jc w:val="right"/>
            </w:pPr>
            <w:r>
              <w:rPr>
                <w:sz w:val="18"/>
              </w:rPr>
              <w:t>13.021.464,70</w:t>
            </w:r>
          </w:p>
        </w:tc>
        <w:tc>
          <w:tcPr>
            <w:tcW w:w="700" w:type="dxa"/>
            <w:tcMar>
              <w:top w:w="0" w:type="dxa"/>
              <w:bottom w:w="0" w:type="dxa"/>
            </w:tcMar>
            <w:vAlign w:val="center"/>
          </w:tcPr>
          <w:p w14:paraId="0345165E" w14:textId="77777777" w:rsidR="00481AE5" w:rsidRDefault="00000000">
            <w:pPr>
              <w:keepNext/>
              <w:keepLines/>
              <w:spacing w:after="0" w:line="240" w:lineRule="auto"/>
              <w:jc w:val="right"/>
            </w:pPr>
            <w:r>
              <w:rPr>
                <w:sz w:val="18"/>
              </w:rPr>
              <w:t>85,7</w:t>
            </w:r>
          </w:p>
        </w:tc>
      </w:tr>
      <w:tr w:rsidR="00481AE5" w14:paraId="57E4C243" w14:textId="77777777">
        <w:tblPrEx>
          <w:tblCellMar>
            <w:top w:w="0" w:type="dxa"/>
            <w:bottom w:w="0" w:type="dxa"/>
          </w:tblCellMar>
        </w:tblPrEx>
        <w:trPr>
          <w:cantSplit/>
          <w:trHeight w:val="560"/>
        </w:trPr>
        <w:tc>
          <w:tcPr>
            <w:tcW w:w="700" w:type="dxa"/>
            <w:tcMar>
              <w:top w:w="0" w:type="dxa"/>
              <w:bottom w:w="0" w:type="dxa"/>
            </w:tcMar>
            <w:vAlign w:val="center"/>
          </w:tcPr>
          <w:p w14:paraId="672719D8" w14:textId="77777777" w:rsidR="00481AE5" w:rsidRDefault="00000000">
            <w:pPr>
              <w:keepNext/>
              <w:keepLines/>
              <w:spacing w:after="0" w:line="240" w:lineRule="auto"/>
            </w:pPr>
            <w:r>
              <w:rPr>
                <w:sz w:val="18"/>
              </w:rPr>
              <w:t>3</w:t>
            </w:r>
          </w:p>
        </w:tc>
        <w:tc>
          <w:tcPr>
            <w:tcW w:w="3180" w:type="dxa"/>
            <w:tcMar>
              <w:top w:w="0" w:type="dxa"/>
              <w:bottom w:w="0" w:type="dxa"/>
            </w:tcMar>
            <w:vAlign w:val="center"/>
          </w:tcPr>
          <w:p w14:paraId="6217681F" w14:textId="77777777" w:rsidR="00481AE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7025710" w14:textId="77777777" w:rsidR="00481AE5" w:rsidRDefault="00000000">
            <w:pPr>
              <w:keepNext/>
              <w:keepLines/>
              <w:spacing w:after="0" w:line="240" w:lineRule="auto"/>
            </w:pPr>
            <w:r>
              <w:rPr>
                <w:sz w:val="18"/>
              </w:rPr>
              <w:t>3</w:t>
            </w:r>
          </w:p>
        </w:tc>
        <w:tc>
          <w:tcPr>
            <w:tcW w:w="1860" w:type="dxa"/>
            <w:tcMar>
              <w:top w:w="0" w:type="dxa"/>
              <w:bottom w:w="0" w:type="dxa"/>
            </w:tcMar>
            <w:vAlign w:val="center"/>
          </w:tcPr>
          <w:p w14:paraId="6FD2C691" w14:textId="77777777" w:rsidR="00481AE5" w:rsidRDefault="00000000">
            <w:pPr>
              <w:keepNext/>
              <w:keepLines/>
              <w:spacing w:after="0" w:line="240" w:lineRule="auto"/>
              <w:jc w:val="right"/>
            </w:pPr>
            <w:r>
              <w:rPr>
                <w:sz w:val="18"/>
              </w:rPr>
              <w:t>4.755.399,65</w:t>
            </w:r>
          </w:p>
        </w:tc>
        <w:tc>
          <w:tcPr>
            <w:tcW w:w="1860" w:type="dxa"/>
            <w:tcMar>
              <w:top w:w="0" w:type="dxa"/>
              <w:bottom w:w="0" w:type="dxa"/>
            </w:tcMar>
            <w:vAlign w:val="center"/>
          </w:tcPr>
          <w:p w14:paraId="0418AD01" w14:textId="77777777" w:rsidR="00481AE5" w:rsidRDefault="00000000">
            <w:pPr>
              <w:keepNext/>
              <w:keepLines/>
              <w:spacing w:after="0" w:line="240" w:lineRule="auto"/>
              <w:jc w:val="right"/>
            </w:pPr>
            <w:r>
              <w:rPr>
                <w:sz w:val="18"/>
              </w:rPr>
              <w:t>5.365.781,59</w:t>
            </w:r>
          </w:p>
        </w:tc>
        <w:tc>
          <w:tcPr>
            <w:tcW w:w="700" w:type="dxa"/>
            <w:tcMar>
              <w:top w:w="0" w:type="dxa"/>
              <w:bottom w:w="0" w:type="dxa"/>
            </w:tcMar>
            <w:vAlign w:val="center"/>
          </w:tcPr>
          <w:p w14:paraId="41B1AA73" w14:textId="77777777" w:rsidR="00481AE5" w:rsidRDefault="00000000">
            <w:pPr>
              <w:keepNext/>
              <w:keepLines/>
              <w:spacing w:after="0" w:line="240" w:lineRule="auto"/>
              <w:jc w:val="right"/>
            </w:pPr>
            <w:r>
              <w:rPr>
                <w:sz w:val="18"/>
              </w:rPr>
              <w:t>112,8</w:t>
            </w:r>
          </w:p>
        </w:tc>
      </w:tr>
      <w:tr w:rsidR="00481AE5" w14:paraId="3E186C7C" w14:textId="77777777">
        <w:tblPrEx>
          <w:tblCellMar>
            <w:top w:w="0" w:type="dxa"/>
            <w:bottom w:w="0" w:type="dxa"/>
          </w:tblCellMar>
        </w:tblPrEx>
        <w:trPr>
          <w:cantSplit/>
          <w:trHeight w:val="560"/>
        </w:trPr>
        <w:tc>
          <w:tcPr>
            <w:tcW w:w="700" w:type="dxa"/>
            <w:tcMar>
              <w:top w:w="0" w:type="dxa"/>
              <w:bottom w:w="0" w:type="dxa"/>
            </w:tcMar>
            <w:vAlign w:val="center"/>
          </w:tcPr>
          <w:p w14:paraId="7DFD5EED" w14:textId="77777777" w:rsidR="00481AE5" w:rsidRDefault="00481AE5">
            <w:pPr>
              <w:keepNext/>
              <w:keepLines/>
              <w:spacing w:after="0" w:line="240" w:lineRule="auto"/>
            </w:pPr>
          </w:p>
        </w:tc>
        <w:tc>
          <w:tcPr>
            <w:tcW w:w="3180" w:type="dxa"/>
            <w:tcMar>
              <w:top w:w="0" w:type="dxa"/>
              <w:bottom w:w="0" w:type="dxa"/>
            </w:tcMar>
            <w:vAlign w:val="center"/>
          </w:tcPr>
          <w:p w14:paraId="7C2F9B16" w14:textId="77777777" w:rsidR="00481AE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95D97E6" w14:textId="77777777" w:rsidR="00481AE5" w:rsidRDefault="00000000">
            <w:pPr>
              <w:keepNext/>
              <w:keepLines/>
              <w:spacing w:after="0" w:line="240" w:lineRule="auto"/>
            </w:pPr>
            <w:r>
              <w:rPr>
                <w:b/>
                <w:sz w:val="18"/>
              </w:rPr>
              <w:t>X001</w:t>
            </w:r>
          </w:p>
        </w:tc>
        <w:tc>
          <w:tcPr>
            <w:tcW w:w="1860" w:type="dxa"/>
            <w:tcMar>
              <w:top w:w="0" w:type="dxa"/>
              <w:bottom w:w="0" w:type="dxa"/>
            </w:tcMar>
            <w:vAlign w:val="center"/>
          </w:tcPr>
          <w:p w14:paraId="2699249A" w14:textId="77777777" w:rsidR="00481AE5" w:rsidRDefault="00000000">
            <w:pPr>
              <w:keepNext/>
              <w:keepLines/>
              <w:spacing w:after="0" w:line="240" w:lineRule="auto"/>
              <w:jc w:val="right"/>
            </w:pPr>
            <w:r>
              <w:rPr>
                <w:b/>
                <w:sz w:val="18"/>
              </w:rPr>
              <w:t>10.433.881,45</w:t>
            </w:r>
          </w:p>
        </w:tc>
        <w:tc>
          <w:tcPr>
            <w:tcW w:w="1860" w:type="dxa"/>
            <w:tcMar>
              <w:top w:w="0" w:type="dxa"/>
              <w:bottom w:w="0" w:type="dxa"/>
            </w:tcMar>
            <w:vAlign w:val="center"/>
          </w:tcPr>
          <w:p w14:paraId="5C1DFDD0" w14:textId="77777777" w:rsidR="00481AE5" w:rsidRDefault="00000000">
            <w:pPr>
              <w:keepNext/>
              <w:keepLines/>
              <w:spacing w:after="0" w:line="240" w:lineRule="auto"/>
              <w:jc w:val="right"/>
            </w:pPr>
            <w:r>
              <w:rPr>
                <w:b/>
                <w:sz w:val="18"/>
              </w:rPr>
              <w:t>7.655.683,11</w:t>
            </w:r>
          </w:p>
        </w:tc>
        <w:tc>
          <w:tcPr>
            <w:tcW w:w="700" w:type="dxa"/>
            <w:tcMar>
              <w:top w:w="0" w:type="dxa"/>
              <w:bottom w:w="0" w:type="dxa"/>
            </w:tcMar>
            <w:vAlign w:val="center"/>
          </w:tcPr>
          <w:p w14:paraId="059EF48D" w14:textId="77777777" w:rsidR="00481AE5" w:rsidRDefault="00000000">
            <w:pPr>
              <w:keepNext/>
              <w:keepLines/>
              <w:spacing w:after="0" w:line="240" w:lineRule="auto"/>
              <w:jc w:val="right"/>
            </w:pPr>
            <w:r>
              <w:rPr>
                <w:b/>
                <w:sz w:val="18"/>
              </w:rPr>
              <w:t>73,4</w:t>
            </w:r>
          </w:p>
        </w:tc>
      </w:tr>
      <w:tr w:rsidR="00481AE5" w14:paraId="2A48F0B8" w14:textId="77777777">
        <w:tblPrEx>
          <w:tblCellMar>
            <w:top w:w="0" w:type="dxa"/>
            <w:bottom w:w="0" w:type="dxa"/>
          </w:tblCellMar>
        </w:tblPrEx>
        <w:trPr>
          <w:cantSplit/>
          <w:trHeight w:val="560"/>
        </w:trPr>
        <w:tc>
          <w:tcPr>
            <w:tcW w:w="700" w:type="dxa"/>
            <w:tcMar>
              <w:top w:w="0" w:type="dxa"/>
              <w:bottom w:w="0" w:type="dxa"/>
            </w:tcMar>
            <w:vAlign w:val="center"/>
          </w:tcPr>
          <w:p w14:paraId="4A06B1C7" w14:textId="77777777" w:rsidR="00481AE5" w:rsidRDefault="00000000">
            <w:pPr>
              <w:keepNext/>
              <w:keepLines/>
              <w:spacing w:after="0" w:line="240" w:lineRule="auto"/>
            </w:pPr>
            <w:r>
              <w:rPr>
                <w:sz w:val="18"/>
              </w:rPr>
              <w:t>7</w:t>
            </w:r>
          </w:p>
        </w:tc>
        <w:tc>
          <w:tcPr>
            <w:tcW w:w="3180" w:type="dxa"/>
            <w:tcMar>
              <w:top w:w="0" w:type="dxa"/>
              <w:bottom w:w="0" w:type="dxa"/>
            </w:tcMar>
            <w:vAlign w:val="center"/>
          </w:tcPr>
          <w:p w14:paraId="7DDF0C3C" w14:textId="77777777" w:rsidR="00481AE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0E55E0B" w14:textId="77777777" w:rsidR="00481AE5" w:rsidRDefault="00000000">
            <w:pPr>
              <w:keepNext/>
              <w:keepLines/>
              <w:spacing w:after="0" w:line="240" w:lineRule="auto"/>
            </w:pPr>
            <w:r>
              <w:rPr>
                <w:sz w:val="18"/>
              </w:rPr>
              <w:t>7</w:t>
            </w:r>
          </w:p>
        </w:tc>
        <w:tc>
          <w:tcPr>
            <w:tcW w:w="1860" w:type="dxa"/>
            <w:tcMar>
              <w:top w:w="0" w:type="dxa"/>
              <w:bottom w:w="0" w:type="dxa"/>
            </w:tcMar>
            <w:vAlign w:val="center"/>
          </w:tcPr>
          <w:p w14:paraId="2A55BCC4" w14:textId="77777777" w:rsidR="00481AE5" w:rsidRDefault="00000000">
            <w:pPr>
              <w:keepNext/>
              <w:keepLines/>
              <w:spacing w:after="0" w:line="240" w:lineRule="auto"/>
              <w:jc w:val="right"/>
            </w:pPr>
            <w:r>
              <w:rPr>
                <w:sz w:val="18"/>
              </w:rPr>
              <w:t>0,00</w:t>
            </w:r>
          </w:p>
        </w:tc>
        <w:tc>
          <w:tcPr>
            <w:tcW w:w="1860" w:type="dxa"/>
            <w:tcMar>
              <w:top w:w="0" w:type="dxa"/>
              <w:bottom w:w="0" w:type="dxa"/>
            </w:tcMar>
            <w:vAlign w:val="center"/>
          </w:tcPr>
          <w:p w14:paraId="36376CEB" w14:textId="77777777" w:rsidR="00481AE5" w:rsidRDefault="00000000">
            <w:pPr>
              <w:keepNext/>
              <w:keepLines/>
              <w:spacing w:after="0" w:line="240" w:lineRule="auto"/>
              <w:jc w:val="right"/>
            </w:pPr>
            <w:r>
              <w:rPr>
                <w:sz w:val="18"/>
              </w:rPr>
              <w:t>0,00</w:t>
            </w:r>
          </w:p>
        </w:tc>
        <w:tc>
          <w:tcPr>
            <w:tcW w:w="700" w:type="dxa"/>
            <w:tcMar>
              <w:top w:w="0" w:type="dxa"/>
              <w:bottom w:w="0" w:type="dxa"/>
            </w:tcMar>
            <w:vAlign w:val="center"/>
          </w:tcPr>
          <w:p w14:paraId="075A3251" w14:textId="77777777" w:rsidR="00481AE5" w:rsidRDefault="00000000">
            <w:pPr>
              <w:keepNext/>
              <w:keepLines/>
              <w:spacing w:after="0" w:line="240" w:lineRule="auto"/>
              <w:jc w:val="right"/>
            </w:pPr>
            <w:r>
              <w:rPr>
                <w:sz w:val="18"/>
              </w:rPr>
              <w:t>-</w:t>
            </w:r>
          </w:p>
        </w:tc>
      </w:tr>
      <w:tr w:rsidR="00481AE5" w14:paraId="64C10BDA" w14:textId="77777777">
        <w:tblPrEx>
          <w:tblCellMar>
            <w:top w:w="0" w:type="dxa"/>
            <w:bottom w:w="0" w:type="dxa"/>
          </w:tblCellMar>
        </w:tblPrEx>
        <w:trPr>
          <w:cantSplit/>
          <w:trHeight w:val="560"/>
        </w:trPr>
        <w:tc>
          <w:tcPr>
            <w:tcW w:w="700" w:type="dxa"/>
            <w:tcMar>
              <w:top w:w="0" w:type="dxa"/>
              <w:bottom w:w="0" w:type="dxa"/>
            </w:tcMar>
            <w:vAlign w:val="center"/>
          </w:tcPr>
          <w:p w14:paraId="4B478B86" w14:textId="77777777" w:rsidR="00481AE5" w:rsidRDefault="00000000">
            <w:pPr>
              <w:keepNext/>
              <w:keepLines/>
              <w:spacing w:after="0" w:line="240" w:lineRule="auto"/>
            </w:pPr>
            <w:r>
              <w:rPr>
                <w:sz w:val="18"/>
              </w:rPr>
              <w:t>4</w:t>
            </w:r>
          </w:p>
        </w:tc>
        <w:tc>
          <w:tcPr>
            <w:tcW w:w="3180" w:type="dxa"/>
            <w:tcMar>
              <w:top w:w="0" w:type="dxa"/>
              <w:bottom w:w="0" w:type="dxa"/>
            </w:tcMar>
            <w:vAlign w:val="center"/>
          </w:tcPr>
          <w:p w14:paraId="12C074DD" w14:textId="77777777" w:rsidR="00481AE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C500C50" w14:textId="77777777" w:rsidR="00481AE5" w:rsidRDefault="00000000">
            <w:pPr>
              <w:keepNext/>
              <w:keepLines/>
              <w:spacing w:after="0" w:line="240" w:lineRule="auto"/>
            </w:pPr>
            <w:r>
              <w:rPr>
                <w:sz w:val="18"/>
              </w:rPr>
              <w:t>4</w:t>
            </w:r>
          </w:p>
        </w:tc>
        <w:tc>
          <w:tcPr>
            <w:tcW w:w="1860" w:type="dxa"/>
            <w:tcMar>
              <w:top w:w="0" w:type="dxa"/>
              <w:bottom w:w="0" w:type="dxa"/>
            </w:tcMar>
            <w:vAlign w:val="center"/>
          </w:tcPr>
          <w:p w14:paraId="25F54496" w14:textId="77777777" w:rsidR="00481AE5" w:rsidRDefault="00000000">
            <w:pPr>
              <w:keepNext/>
              <w:keepLines/>
              <w:spacing w:after="0" w:line="240" w:lineRule="auto"/>
              <w:jc w:val="right"/>
            </w:pPr>
            <w:r>
              <w:rPr>
                <w:sz w:val="18"/>
              </w:rPr>
              <w:t>3.338.432,27</w:t>
            </w:r>
          </w:p>
        </w:tc>
        <w:tc>
          <w:tcPr>
            <w:tcW w:w="1860" w:type="dxa"/>
            <w:tcMar>
              <w:top w:w="0" w:type="dxa"/>
              <w:bottom w:w="0" w:type="dxa"/>
            </w:tcMar>
            <w:vAlign w:val="center"/>
          </w:tcPr>
          <w:p w14:paraId="4D54FB25" w14:textId="77777777" w:rsidR="00481AE5" w:rsidRDefault="00000000">
            <w:pPr>
              <w:keepNext/>
              <w:keepLines/>
              <w:spacing w:after="0" w:line="240" w:lineRule="auto"/>
              <w:jc w:val="right"/>
            </w:pPr>
            <w:r>
              <w:rPr>
                <w:sz w:val="18"/>
              </w:rPr>
              <w:t>4.186.078,93</w:t>
            </w:r>
          </w:p>
        </w:tc>
        <w:tc>
          <w:tcPr>
            <w:tcW w:w="700" w:type="dxa"/>
            <w:tcMar>
              <w:top w:w="0" w:type="dxa"/>
              <w:bottom w:w="0" w:type="dxa"/>
            </w:tcMar>
            <w:vAlign w:val="center"/>
          </w:tcPr>
          <w:p w14:paraId="50338D50" w14:textId="77777777" w:rsidR="00481AE5" w:rsidRDefault="00000000">
            <w:pPr>
              <w:keepNext/>
              <w:keepLines/>
              <w:spacing w:after="0" w:line="240" w:lineRule="auto"/>
              <w:jc w:val="right"/>
            </w:pPr>
            <w:r>
              <w:rPr>
                <w:sz w:val="18"/>
              </w:rPr>
              <w:t>125,4</w:t>
            </w:r>
          </w:p>
        </w:tc>
      </w:tr>
      <w:tr w:rsidR="00481AE5" w14:paraId="4EE04A82" w14:textId="77777777">
        <w:tblPrEx>
          <w:tblCellMar>
            <w:top w:w="0" w:type="dxa"/>
            <w:bottom w:w="0" w:type="dxa"/>
          </w:tblCellMar>
        </w:tblPrEx>
        <w:trPr>
          <w:cantSplit/>
          <w:trHeight w:val="560"/>
        </w:trPr>
        <w:tc>
          <w:tcPr>
            <w:tcW w:w="700" w:type="dxa"/>
            <w:tcMar>
              <w:top w:w="0" w:type="dxa"/>
              <w:bottom w:w="0" w:type="dxa"/>
            </w:tcMar>
            <w:vAlign w:val="center"/>
          </w:tcPr>
          <w:p w14:paraId="5CF0A992" w14:textId="77777777" w:rsidR="00481AE5" w:rsidRDefault="00481AE5">
            <w:pPr>
              <w:keepNext/>
              <w:keepLines/>
              <w:spacing w:after="0" w:line="240" w:lineRule="auto"/>
            </w:pPr>
          </w:p>
        </w:tc>
        <w:tc>
          <w:tcPr>
            <w:tcW w:w="3180" w:type="dxa"/>
            <w:tcMar>
              <w:top w:w="0" w:type="dxa"/>
              <w:bottom w:w="0" w:type="dxa"/>
            </w:tcMar>
            <w:vAlign w:val="center"/>
          </w:tcPr>
          <w:p w14:paraId="17A63E27" w14:textId="77777777" w:rsidR="00481AE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FAB1829" w14:textId="77777777" w:rsidR="00481AE5" w:rsidRDefault="00000000">
            <w:pPr>
              <w:keepNext/>
              <w:keepLines/>
              <w:spacing w:after="0" w:line="240" w:lineRule="auto"/>
            </w:pPr>
            <w:r>
              <w:rPr>
                <w:b/>
                <w:sz w:val="18"/>
              </w:rPr>
              <w:t>Y002</w:t>
            </w:r>
          </w:p>
        </w:tc>
        <w:tc>
          <w:tcPr>
            <w:tcW w:w="1860" w:type="dxa"/>
            <w:tcMar>
              <w:top w:w="0" w:type="dxa"/>
              <w:bottom w:w="0" w:type="dxa"/>
            </w:tcMar>
            <w:vAlign w:val="center"/>
          </w:tcPr>
          <w:p w14:paraId="41CACD5D" w14:textId="77777777" w:rsidR="00481AE5" w:rsidRDefault="00000000">
            <w:pPr>
              <w:keepNext/>
              <w:keepLines/>
              <w:spacing w:after="0" w:line="240" w:lineRule="auto"/>
              <w:jc w:val="right"/>
            </w:pPr>
            <w:r>
              <w:rPr>
                <w:b/>
                <w:sz w:val="18"/>
              </w:rPr>
              <w:t>3.338.432,27</w:t>
            </w:r>
          </w:p>
        </w:tc>
        <w:tc>
          <w:tcPr>
            <w:tcW w:w="1860" w:type="dxa"/>
            <w:tcMar>
              <w:top w:w="0" w:type="dxa"/>
              <w:bottom w:w="0" w:type="dxa"/>
            </w:tcMar>
            <w:vAlign w:val="center"/>
          </w:tcPr>
          <w:p w14:paraId="1C3534EA" w14:textId="77777777" w:rsidR="00481AE5" w:rsidRDefault="00000000">
            <w:pPr>
              <w:keepNext/>
              <w:keepLines/>
              <w:spacing w:after="0" w:line="240" w:lineRule="auto"/>
              <w:jc w:val="right"/>
            </w:pPr>
            <w:r>
              <w:rPr>
                <w:b/>
                <w:sz w:val="18"/>
              </w:rPr>
              <w:t>4.186.078,93</w:t>
            </w:r>
          </w:p>
        </w:tc>
        <w:tc>
          <w:tcPr>
            <w:tcW w:w="700" w:type="dxa"/>
            <w:tcMar>
              <w:top w:w="0" w:type="dxa"/>
              <w:bottom w:w="0" w:type="dxa"/>
            </w:tcMar>
            <w:vAlign w:val="center"/>
          </w:tcPr>
          <w:p w14:paraId="403BBD77" w14:textId="77777777" w:rsidR="00481AE5" w:rsidRDefault="00000000">
            <w:pPr>
              <w:keepNext/>
              <w:keepLines/>
              <w:spacing w:after="0" w:line="240" w:lineRule="auto"/>
              <w:jc w:val="right"/>
            </w:pPr>
            <w:r>
              <w:rPr>
                <w:b/>
                <w:sz w:val="18"/>
              </w:rPr>
              <w:t>125,4</w:t>
            </w:r>
          </w:p>
        </w:tc>
      </w:tr>
      <w:tr w:rsidR="00481AE5" w14:paraId="69BC0200" w14:textId="77777777">
        <w:tblPrEx>
          <w:tblCellMar>
            <w:top w:w="0" w:type="dxa"/>
            <w:bottom w:w="0" w:type="dxa"/>
          </w:tblCellMar>
        </w:tblPrEx>
        <w:trPr>
          <w:cantSplit/>
          <w:trHeight w:val="560"/>
        </w:trPr>
        <w:tc>
          <w:tcPr>
            <w:tcW w:w="700" w:type="dxa"/>
            <w:tcMar>
              <w:top w:w="0" w:type="dxa"/>
              <w:bottom w:w="0" w:type="dxa"/>
            </w:tcMar>
            <w:vAlign w:val="center"/>
          </w:tcPr>
          <w:p w14:paraId="0D97339F" w14:textId="77777777" w:rsidR="00481AE5" w:rsidRDefault="00000000">
            <w:pPr>
              <w:keepNext/>
              <w:keepLines/>
              <w:spacing w:after="0" w:line="240" w:lineRule="auto"/>
            </w:pPr>
            <w:r>
              <w:rPr>
                <w:sz w:val="18"/>
              </w:rPr>
              <w:t>8</w:t>
            </w:r>
          </w:p>
        </w:tc>
        <w:tc>
          <w:tcPr>
            <w:tcW w:w="3180" w:type="dxa"/>
            <w:tcMar>
              <w:top w:w="0" w:type="dxa"/>
              <w:bottom w:w="0" w:type="dxa"/>
            </w:tcMar>
            <w:vAlign w:val="center"/>
          </w:tcPr>
          <w:p w14:paraId="7CA41ECB" w14:textId="77777777" w:rsidR="00481AE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F3E4F40" w14:textId="77777777" w:rsidR="00481AE5" w:rsidRDefault="00000000">
            <w:pPr>
              <w:keepNext/>
              <w:keepLines/>
              <w:spacing w:after="0" w:line="240" w:lineRule="auto"/>
            </w:pPr>
            <w:r>
              <w:rPr>
                <w:sz w:val="18"/>
              </w:rPr>
              <w:t>8</w:t>
            </w:r>
          </w:p>
        </w:tc>
        <w:tc>
          <w:tcPr>
            <w:tcW w:w="1860" w:type="dxa"/>
            <w:tcMar>
              <w:top w:w="0" w:type="dxa"/>
              <w:bottom w:w="0" w:type="dxa"/>
            </w:tcMar>
            <w:vAlign w:val="center"/>
          </w:tcPr>
          <w:p w14:paraId="54732DAE" w14:textId="77777777" w:rsidR="00481AE5" w:rsidRDefault="00000000">
            <w:pPr>
              <w:keepNext/>
              <w:keepLines/>
              <w:spacing w:after="0" w:line="240" w:lineRule="auto"/>
              <w:jc w:val="right"/>
            </w:pPr>
            <w:r>
              <w:rPr>
                <w:sz w:val="18"/>
              </w:rPr>
              <w:t>0,00</w:t>
            </w:r>
          </w:p>
        </w:tc>
        <w:tc>
          <w:tcPr>
            <w:tcW w:w="1860" w:type="dxa"/>
            <w:tcMar>
              <w:top w:w="0" w:type="dxa"/>
              <w:bottom w:w="0" w:type="dxa"/>
            </w:tcMar>
            <w:vAlign w:val="center"/>
          </w:tcPr>
          <w:p w14:paraId="61AC4779" w14:textId="77777777" w:rsidR="00481AE5" w:rsidRDefault="00000000">
            <w:pPr>
              <w:keepNext/>
              <w:keepLines/>
              <w:spacing w:after="0" w:line="240" w:lineRule="auto"/>
              <w:jc w:val="right"/>
            </w:pPr>
            <w:r>
              <w:rPr>
                <w:sz w:val="18"/>
              </w:rPr>
              <w:t>0,00</w:t>
            </w:r>
          </w:p>
        </w:tc>
        <w:tc>
          <w:tcPr>
            <w:tcW w:w="700" w:type="dxa"/>
            <w:tcMar>
              <w:top w:w="0" w:type="dxa"/>
              <w:bottom w:w="0" w:type="dxa"/>
            </w:tcMar>
            <w:vAlign w:val="center"/>
          </w:tcPr>
          <w:p w14:paraId="293ECFF0" w14:textId="77777777" w:rsidR="00481AE5" w:rsidRDefault="00000000">
            <w:pPr>
              <w:keepNext/>
              <w:keepLines/>
              <w:spacing w:after="0" w:line="240" w:lineRule="auto"/>
              <w:jc w:val="right"/>
            </w:pPr>
            <w:r>
              <w:rPr>
                <w:sz w:val="18"/>
              </w:rPr>
              <w:t>-</w:t>
            </w:r>
          </w:p>
        </w:tc>
      </w:tr>
      <w:tr w:rsidR="00481AE5" w14:paraId="50B51CCB" w14:textId="77777777">
        <w:tblPrEx>
          <w:tblCellMar>
            <w:top w:w="0" w:type="dxa"/>
            <w:bottom w:w="0" w:type="dxa"/>
          </w:tblCellMar>
        </w:tblPrEx>
        <w:trPr>
          <w:cantSplit/>
          <w:trHeight w:val="560"/>
        </w:trPr>
        <w:tc>
          <w:tcPr>
            <w:tcW w:w="700" w:type="dxa"/>
            <w:tcMar>
              <w:top w:w="0" w:type="dxa"/>
              <w:bottom w:w="0" w:type="dxa"/>
            </w:tcMar>
            <w:vAlign w:val="center"/>
          </w:tcPr>
          <w:p w14:paraId="6CA5B5B4" w14:textId="77777777" w:rsidR="00481AE5" w:rsidRDefault="00000000">
            <w:pPr>
              <w:keepNext/>
              <w:keepLines/>
              <w:spacing w:after="0" w:line="240" w:lineRule="auto"/>
            </w:pPr>
            <w:r>
              <w:rPr>
                <w:sz w:val="18"/>
              </w:rPr>
              <w:t>5</w:t>
            </w:r>
          </w:p>
        </w:tc>
        <w:tc>
          <w:tcPr>
            <w:tcW w:w="3180" w:type="dxa"/>
            <w:tcMar>
              <w:top w:w="0" w:type="dxa"/>
              <w:bottom w:w="0" w:type="dxa"/>
            </w:tcMar>
            <w:vAlign w:val="center"/>
          </w:tcPr>
          <w:p w14:paraId="2C38B653" w14:textId="77777777" w:rsidR="00481AE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6B7526A" w14:textId="77777777" w:rsidR="00481AE5" w:rsidRDefault="00000000">
            <w:pPr>
              <w:keepNext/>
              <w:keepLines/>
              <w:spacing w:after="0" w:line="240" w:lineRule="auto"/>
            </w:pPr>
            <w:r>
              <w:rPr>
                <w:sz w:val="18"/>
              </w:rPr>
              <w:t>5</w:t>
            </w:r>
          </w:p>
        </w:tc>
        <w:tc>
          <w:tcPr>
            <w:tcW w:w="1860" w:type="dxa"/>
            <w:tcMar>
              <w:top w:w="0" w:type="dxa"/>
              <w:bottom w:w="0" w:type="dxa"/>
            </w:tcMar>
            <w:vAlign w:val="center"/>
          </w:tcPr>
          <w:p w14:paraId="11E17232" w14:textId="77777777" w:rsidR="00481AE5" w:rsidRDefault="00000000">
            <w:pPr>
              <w:keepNext/>
              <w:keepLines/>
              <w:spacing w:after="0" w:line="240" w:lineRule="auto"/>
              <w:jc w:val="right"/>
            </w:pPr>
            <w:r>
              <w:rPr>
                <w:sz w:val="18"/>
              </w:rPr>
              <w:t>3.762.101,30</w:t>
            </w:r>
          </w:p>
        </w:tc>
        <w:tc>
          <w:tcPr>
            <w:tcW w:w="1860" w:type="dxa"/>
            <w:tcMar>
              <w:top w:w="0" w:type="dxa"/>
              <w:bottom w:w="0" w:type="dxa"/>
            </w:tcMar>
            <w:vAlign w:val="center"/>
          </w:tcPr>
          <w:p w14:paraId="10E698CC" w14:textId="77777777" w:rsidR="00481AE5" w:rsidRDefault="00000000">
            <w:pPr>
              <w:keepNext/>
              <w:keepLines/>
              <w:spacing w:after="0" w:line="240" w:lineRule="auto"/>
              <w:jc w:val="right"/>
            </w:pPr>
            <w:r>
              <w:rPr>
                <w:sz w:val="18"/>
              </w:rPr>
              <w:t>3.762.101,30</w:t>
            </w:r>
          </w:p>
        </w:tc>
        <w:tc>
          <w:tcPr>
            <w:tcW w:w="700" w:type="dxa"/>
            <w:tcMar>
              <w:top w:w="0" w:type="dxa"/>
              <w:bottom w:w="0" w:type="dxa"/>
            </w:tcMar>
            <w:vAlign w:val="center"/>
          </w:tcPr>
          <w:p w14:paraId="79807929" w14:textId="77777777" w:rsidR="00481AE5" w:rsidRDefault="00000000">
            <w:pPr>
              <w:keepNext/>
              <w:keepLines/>
              <w:spacing w:after="0" w:line="240" w:lineRule="auto"/>
              <w:jc w:val="right"/>
            </w:pPr>
            <w:r>
              <w:rPr>
                <w:sz w:val="18"/>
              </w:rPr>
              <w:t>100</w:t>
            </w:r>
          </w:p>
        </w:tc>
      </w:tr>
      <w:tr w:rsidR="00481AE5" w14:paraId="72A4F9B6" w14:textId="77777777">
        <w:tblPrEx>
          <w:tblCellMar>
            <w:top w:w="0" w:type="dxa"/>
            <w:bottom w:w="0" w:type="dxa"/>
          </w:tblCellMar>
        </w:tblPrEx>
        <w:trPr>
          <w:cantSplit/>
          <w:trHeight w:val="560"/>
        </w:trPr>
        <w:tc>
          <w:tcPr>
            <w:tcW w:w="700" w:type="dxa"/>
            <w:tcMar>
              <w:top w:w="0" w:type="dxa"/>
              <w:bottom w:w="0" w:type="dxa"/>
            </w:tcMar>
            <w:vAlign w:val="center"/>
          </w:tcPr>
          <w:p w14:paraId="4F1E7E2C" w14:textId="77777777" w:rsidR="00481AE5" w:rsidRDefault="00481AE5">
            <w:pPr>
              <w:keepNext/>
              <w:keepLines/>
              <w:spacing w:after="0" w:line="240" w:lineRule="auto"/>
            </w:pPr>
          </w:p>
        </w:tc>
        <w:tc>
          <w:tcPr>
            <w:tcW w:w="3180" w:type="dxa"/>
            <w:tcMar>
              <w:top w:w="0" w:type="dxa"/>
              <w:bottom w:w="0" w:type="dxa"/>
            </w:tcMar>
            <w:vAlign w:val="center"/>
          </w:tcPr>
          <w:p w14:paraId="5FDB4370" w14:textId="77777777" w:rsidR="00481AE5"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79B6F747" w14:textId="77777777" w:rsidR="00481AE5" w:rsidRDefault="00000000">
            <w:pPr>
              <w:keepNext/>
              <w:keepLines/>
              <w:spacing w:after="0" w:line="240" w:lineRule="auto"/>
            </w:pPr>
            <w:r>
              <w:rPr>
                <w:b/>
                <w:sz w:val="18"/>
              </w:rPr>
              <w:t>Y003</w:t>
            </w:r>
          </w:p>
        </w:tc>
        <w:tc>
          <w:tcPr>
            <w:tcW w:w="1860" w:type="dxa"/>
            <w:tcMar>
              <w:top w:w="0" w:type="dxa"/>
              <w:bottom w:w="0" w:type="dxa"/>
            </w:tcMar>
            <w:vAlign w:val="center"/>
          </w:tcPr>
          <w:p w14:paraId="7B394597" w14:textId="77777777" w:rsidR="00481AE5" w:rsidRDefault="00000000">
            <w:pPr>
              <w:keepNext/>
              <w:keepLines/>
              <w:spacing w:after="0" w:line="240" w:lineRule="auto"/>
              <w:jc w:val="right"/>
            </w:pPr>
            <w:r>
              <w:rPr>
                <w:b/>
                <w:sz w:val="18"/>
              </w:rPr>
              <w:t>3.762.101,30</w:t>
            </w:r>
          </w:p>
        </w:tc>
        <w:tc>
          <w:tcPr>
            <w:tcW w:w="1860" w:type="dxa"/>
            <w:tcMar>
              <w:top w:w="0" w:type="dxa"/>
              <w:bottom w:w="0" w:type="dxa"/>
            </w:tcMar>
            <w:vAlign w:val="center"/>
          </w:tcPr>
          <w:p w14:paraId="5F2FBA26" w14:textId="77777777" w:rsidR="00481AE5" w:rsidRDefault="00000000">
            <w:pPr>
              <w:keepNext/>
              <w:keepLines/>
              <w:spacing w:after="0" w:line="240" w:lineRule="auto"/>
              <w:jc w:val="right"/>
            </w:pPr>
            <w:r>
              <w:rPr>
                <w:b/>
                <w:sz w:val="18"/>
              </w:rPr>
              <w:t>3.762.101,30</w:t>
            </w:r>
          </w:p>
        </w:tc>
        <w:tc>
          <w:tcPr>
            <w:tcW w:w="700" w:type="dxa"/>
            <w:tcMar>
              <w:top w:w="0" w:type="dxa"/>
              <w:bottom w:w="0" w:type="dxa"/>
            </w:tcMar>
            <w:vAlign w:val="center"/>
          </w:tcPr>
          <w:p w14:paraId="45052D3B" w14:textId="77777777" w:rsidR="00481AE5" w:rsidRDefault="00000000">
            <w:pPr>
              <w:keepNext/>
              <w:keepLines/>
              <w:spacing w:after="0" w:line="240" w:lineRule="auto"/>
              <w:jc w:val="right"/>
            </w:pPr>
            <w:r>
              <w:rPr>
                <w:b/>
                <w:sz w:val="18"/>
              </w:rPr>
              <w:t>100</w:t>
            </w:r>
          </w:p>
        </w:tc>
      </w:tr>
      <w:tr w:rsidR="00481AE5" w14:paraId="04839A21" w14:textId="77777777">
        <w:tblPrEx>
          <w:tblCellMar>
            <w:top w:w="0" w:type="dxa"/>
            <w:bottom w:w="0" w:type="dxa"/>
          </w:tblCellMar>
        </w:tblPrEx>
        <w:trPr>
          <w:cantSplit/>
          <w:trHeight w:val="560"/>
        </w:trPr>
        <w:tc>
          <w:tcPr>
            <w:tcW w:w="700" w:type="dxa"/>
            <w:tcMar>
              <w:top w:w="0" w:type="dxa"/>
              <w:bottom w:w="0" w:type="dxa"/>
            </w:tcMar>
            <w:vAlign w:val="center"/>
          </w:tcPr>
          <w:p w14:paraId="3E0CADAF" w14:textId="77777777" w:rsidR="00481AE5" w:rsidRDefault="00481AE5">
            <w:pPr>
              <w:keepNext/>
              <w:keepLines/>
              <w:spacing w:after="0" w:line="240" w:lineRule="auto"/>
            </w:pPr>
          </w:p>
        </w:tc>
        <w:tc>
          <w:tcPr>
            <w:tcW w:w="3180" w:type="dxa"/>
            <w:tcMar>
              <w:top w:w="0" w:type="dxa"/>
              <w:bottom w:w="0" w:type="dxa"/>
            </w:tcMar>
            <w:vAlign w:val="center"/>
          </w:tcPr>
          <w:p w14:paraId="076FE214" w14:textId="77777777" w:rsidR="00481AE5"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A40C206" w14:textId="77777777" w:rsidR="00481AE5" w:rsidRDefault="00000000">
            <w:pPr>
              <w:keepNext/>
              <w:keepLines/>
              <w:spacing w:after="0" w:line="240" w:lineRule="auto"/>
            </w:pPr>
            <w:r>
              <w:rPr>
                <w:b/>
                <w:sz w:val="18"/>
              </w:rPr>
              <w:t>Y005</w:t>
            </w:r>
          </w:p>
        </w:tc>
        <w:tc>
          <w:tcPr>
            <w:tcW w:w="1860" w:type="dxa"/>
            <w:tcMar>
              <w:top w:w="0" w:type="dxa"/>
              <w:bottom w:w="0" w:type="dxa"/>
            </w:tcMar>
            <w:vAlign w:val="center"/>
          </w:tcPr>
          <w:p w14:paraId="51605930" w14:textId="77777777" w:rsidR="00481AE5" w:rsidRDefault="00000000">
            <w:pPr>
              <w:keepNext/>
              <w:keepLines/>
              <w:spacing w:after="0" w:line="240" w:lineRule="auto"/>
              <w:jc w:val="right"/>
            </w:pPr>
            <w:r>
              <w:rPr>
                <w:b/>
                <w:sz w:val="18"/>
              </w:rPr>
              <w:t>0,00</w:t>
            </w:r>
          </w:p>
        </w:tc>
        <w:tc>
          <w:tcPr>
            <w:tcW w:w="1860" w:type="dxa"/>
            <w:tcMar>
              <w:top w:w="0" w:type="dxa"/>
              <w:bottom w:w="0" w:type="dxa"/>
            </w:tcMar>
            <w:vAlign w:val="center"/>
          </w:tcPr>
          <w:p w14:paraId="784A6DB0" w14:textId="77777777" w:rsidR="00481AE5" w:rsidRDefault="00000000">
            <w:pPr>
              <w:keepNext/>
              <w:keepLines/>
              <w:spacing w:after="0" w:line="240" w:lineRule="auto"/>
              <w:jc w:val="right"/>
            </w:pPr>
            <w:r>
              <w:rPr>
                <w:b/>
                <w:sz w:val="18"/>
              </w:rPr>
              <w:t>292.497,12</w:t>
            </w:r>
          </w:p>
        </w:tc>
        <w:tc>
          <w:tcPr>
            <w:tcW w:w="700" w:type="dxa"/>
            <w:tcMar>
              <w:top w:w="0" w:type="dxa"/>
              <w:bottom w:w="0" w:type="dxa"/>
            </w:tcMar>
            <w:vAlign w:val="center"/>
          </w:tcPr>
          <w:p w14:paraId="5A5EDE50" w14:textId="77777777" w:rsidR="00481AE5" w:rsidRDefault="00000000">
            <w:pPr>
              <w:keepNext/>
              <w:keepLines/>
              <w:spacing w:after="0" w:line="240" w:lineRule="auto"/>
              <w:jc w:val="right"/>
            </w:pPr>
            <w:r>
              <w:rPr>
                <w:b/>
                <w:sz w:val="18"/>
              </w:rPr>
              <w:t>-</w:t>
            </w:r>
          </w:p>
        </w:tc>
      </w:tr>
    </w:tbl>
    <w:p w14:paraId="47BC8927" w14:textId="77777777" w:rsidR="00481AE5" w:rsidRDefault="00481AE5">
      <w:pPr>
        <w:spacing w:after="0"/>
      </w:pPr>
    </w:p>
    <w:p w14:paraId="26E67A9B" w14:textId="77777777" w:rsidR="00481AE5" w:rsidRDefault="00000000">
      <w:r>
        <w:t xml:space="preserve">U 2025. godine ostvareni su 13% manji prihodi poslovanja u odnosu na isto razdoblje prethodne godine. Značajno manji u odnosu na prethodnu godinu su prihodi od pomoći iz inozemstva i od subjekata unutar općeg proračuna jer su u 2024. godini dovršeni projekti izgradnje ribarskih luka te su time izostali prihodi za njihovo financiranje. Rashodi poslovanja porasli su za 13% u odnosu na isto razdoblje prethodne godine, najvećim dijelom zbog </w:t>
      </w:r>
      <w:r>
        <w:lastRenderedPageBreak/>
        <w:t>porasta broja zaposlenih i porasta materijalnih rashoda kao posljedica upravljanja područjem Marine Zadar.  </w:t>
      </w:r>
    </w:p>
    <w:p w14:paraId="72FA5330" w14:textId="77777777" w:rsidR="00481AE5" w:rsidRDefault="00000000">
      <w:r>
        <w:br/>
      </w:r>
    </w:p>
    <w:p w14:paraId="08565233" w14:textId="77777777" w:rsidR="00481AE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0B7D07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9C2872"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C886E9"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EC8F43"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409F22"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25B21F"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2F0FC6" w14:textId="77777777" w:rsidR="00481AE5" w:rsidRDefault="00000000">
            <w:pPr>
              <w:keepNext/>
              <w:keepLines/>
              <w:spacing w:after="0" w:line="240" w:lineRule="auto"/>
              <w:jc w:val="center"/>
            </w:pPr>
            <w:r>
              <w:rPr>
                <w:b/>
                <w:sz w:val="18"/>
              </w:rPr>
              <w:t>Indeks (%)</w:t>
            </w:r>
          </w:p>
        </w:tc>
      </w:tr>
      <w:tr w:rsidR="00481AE5" w14:paraId="3AC705FB" w14:textId="77777777">
        <w:tblPrEx>
          <w:tblCellMar>
            <w:top w:w="0" w:type="dxa"/>
            <w:bottom w:w="0" w:type="dxa"/>
          </w:tblCellMar>
        </w:tblPrEx>
        <w:trPr>
          <w:cantSplit/>
          <w:trHeight w:val="560"/>
        </w:trPr>
        <w:tc>
          <w:tcPr>
            <w:tcW w:w="700" w:type="dxa"/>
            <w:tcMar>
              <w:top w:w="0" w:type="dxa"/>
              <w:bottom w:w="0" w:type="dxa"/>
            </w:tcMar>
            <w:vAlign w:val="center"/>
          </w:tcPr>
          <w:p w14:paraId="56A2353E" w14:textId="77777777" w:rsidR="00481AE5" w:rsidRDefault="00000000">
            <w:pPr>
              <w:keepNext/>
              <w:keepLines/>
              <w:spacing w:after="0" w:line="240" w:lineRule="auto"/>
            </w:pPr>
            <w:r>
              <w:rPr>
                <w:sz w:val="18"/>
              </w:rPr>
              <w:t>63</w:t>
            </w:r>
          </w:p>
        </w:tc>
        <w:tc>
          <w:tcPr>
            <w:tcW w:w="3180" w:type="dxa"/>
            <w:tcMar>
              <w:top w:w="0" w:type="dxa"/>
              <w:bottom w:w="0" w:type="dxa"/>
            </w:tcMar>
            <w:vAlign w:val="center"/>
          </w:tcPr>
          <w:p w14:paraId="27E17493" w14:textId="77777777" w:rsidR="00481AE5"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0F41F835" w14:textId="77777777" w:rsidR="00481AE5" w:rsidRDefault="00000000">
            <w:pPr>
              <w:keepNext/>
              <w:keepLines/>
              <w:spacing w:after="0" w:line="240" w:lineRule="auto"/>
            </w:pPr>
            <w:r>
              <w:rPr>
                <w:sz w:val="18"/>
              </w:rPr>
              <w:t>63</w:t>
            </w:r>
          </w:p>
        </w:tc>
        <w:tc>
          <w:tcPr>
            <w:tcW w:w="1860" w:type="dxa"/>
            <w:tcMar>
              <w:top w:w="0" w:type="dxa"/>
              <w:bottom w:w="0" w:type="dxa"/>
            </w:tcMar>
            <w:vAlign w:val="center"/>
          </w:tcPr>
          <w:p w14:paraId="70DBC3B2" w14:textId="77777777" w:rsidR="00481AE5" w:rsidRDefault="00000000">
            <w:pPr>
              <w:keepNext/>
              <w:keepLines/>
              <w:spacing w:after="0" w:line="240" w:lineRule="auto"/>
              <w:jc w:val="right"/>
            </w:pPr>
            <w:r>
              <w:rPr>
                <w:sz w:val="18"/>
              </w:rPr>
              <w:t>3.526.291,81</w:t>
            </w:r>
          </w:p>
        </w:tc>
        <w:tc>
          <w:tcPr>
            <w:tcW w:w="1860" w:type="dxa"/>
            <w:tcMar>
              <w:top w:w="0" w:type="dxa"/>
              <w:bottom w:w="0" w:type="dxa"/>
            </w:tcMar>
            <w:vAlign w:val="center"/>
          </w:tcPr>
          <w:p w14:paraId="39EF7794" w14:textId="77777777" w:rsidR="00481AE5" w:rsidRDefault="00000000">
            <w:pPr>
              <w:keepNext/>
              <w:keepLines/>
              <w:spacing w:after="0" w:line="240" w:lineRule="auto"/>
              <w:jc w:val="right"/>
            </w:pPr>
            <w:r>
              <w:rPr>
                <w:sz w:val="18"/>
              </w:rPr>
              <w:t>42.995,19</w:t>
            </w:r>
          </w:p>
        </w:tc>
        <w:tc>
          <w:tcPr>
            <w:tcW w:w="700" w:type="dxa"/>
            <w:tcMar>
              <w:top w:w="0" w:type="dxa"/>
              <w:bottom w:w="0" w:type="dxa"/>
            </w:tcMar>
            <w:vAlign w:val="center"/>
          </w:tcPr>
          <w:p w14:paraId="32CB429B" w14:textId="77777777" w:rsidR="00481AE5" w:rsidRDefault="00000000">
            <w:pPr>
              <w:keepNext/>
              <w:keepLines/>
              <w:spacing w:after="0" w:line="240" w:lineRule="auto"/>
              <w:jc w:val="right"/>
            </w:pPr>
            <w:r>
              <w:rPr>
                <w:sz w:val="18"/>
              </w:rPr>
              <w:t>1,2</w:t>
            </w:r>
          </w:p>
        </w:tc>
      </w:tr>
    </w:tbl>
    <w:p w14:paraId="003D4794" w14:textId="77777777" w:rsidR="00481AE5" w:rsidRDefault="00481AE5">
      <w:pPr>
        <w:spacing w:after="0"/>
      </w:pPr>
    </w:p>
    <w:p w14:paraId="49EFA0A1" w14:textId="77777777" w:rsidR="00481AE5" w:rsidRDefault="00000000">
      <w:r>
        <w:t>Ovi prihodi ostvareni su u iznosu 42.995 eura, a obuhvaćaju pomoći od izvanproračunskih korisnika te pomoći temeljem prijenosa EU sredstava.  </w:t>
      </w:r>
    </w:p>
    <w:p w14:paraId="08F20C3F" w14:textId="77777777" w:rsidR="00481AE5" w:rsidRDefault="00000000">
      <w:r>
        <w:t>Pomoći od izvanproračunskih korisnika su tekuće pomoći Fonda za zaštitu okoliša i energetsku učinkovitost za financiranje projekta uspostavljanja sustava za mjerenje kakvoće zraka. Isplaćene su u iznosu 3.675 eura. </w:t>
      </w:r>
      <w:r>
        <w:br/>
        <w:t>Pomoći temeljem prijenosa EU sredstava ostvarene su u iznosu 39.320,19 eura te su njima financirani rashodi u provedbi projekta CYSCROMS.</w:t>
      </w:r>
    </w:p>
    <w:p w14:paraId="48CC80E3" w14:textId="77777777" w:rsidR="00481AE5" w:rsidRDefault="00481AE5"/>
    <w:p w14:paraId="6879608D" w14:textId="77777777" w:rsidR="00481AE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3F1BA9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79E422"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3196D6"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746934"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F4EB72"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F9627D"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44025F" w14:textId="77777777" w:rsidR="00481AE5" w:rsidRDefault="00000000">
            <w:pPr>
              <w:keepNext/>
              <w:keepLines/>
              <w:spacing w:after="0" w:line="240" w:lineRule="auto"/>
              <w:jc w:val="center"/>
            </w:pPr>
            <w:r>
              <w:rPr>
                <w:b/>
                <w:sz w:val="18"/>
              </w:rPr>
              <w:t>Indeks (%)</w:t>
            </w:r>
          </w:p>
        </w:tc>
      </w:tr>
      <w:tr w:rsidR="00481AE5" w14:paraId="3BACCAC7" w14:textId="77777777">
        <w:tblPrEx>
          <w:tblCellMar>
            <w:top w:w="0" w:type="dxa"/>
            <w:bottom w:w="0" w:type="dxa"/>
          </w:tblCellMar>
        </w:tblPrEx>
        <w:trPr>
          <w:cantSplit/>
          <w:trHeight w:val="560"/>
        </w:trPr>
        <w:tc>
          <w:tcPr>
            <w:tcW w:w="700" w:type="dxa"/>
            <w:tcMar>
              <w:top w:w="0" w:type="dxa"/>
              <w:bottom w:w="0" w:type="dxa"/>
            </w:tcMar>
            <w:vAlign w:val="center"/>
          </w:tcPr>
          <w:p w14:paraId="233E219E" w14:textId="77777777" w:rsidR="00481AE5" w:rsidRDefault="00000000">
            <w:pPr>
              <w:keepNext/>
              <w:keepLines/>
              <w:spacing w:after="0" w:line="240" w:lineRule="auto"/>
            </w:pPr>
            <w:r>
              <w:rPr>
                <w:sz w:val="18"/>
              </w:rPr>
              <w:t>64</w:t>
            </w:r>
          </w:p>
        </w:tc>
        <w:tc>
          <w:tcPr>
            <w:tcW w:w="3180" w:type="dxa"/>
            <w:tcMar>
              <w:top w:w="0" w:type="dxa"/>
              <w:bottom w:w="0" w:type="dxa"/>
            </w:tcMar>
            <w:vAlign w:val="center"/>
          </w:tcPr>
          <w:p w14:paraId="219C7E65" w14:textId="77777777" w:rsidR="00481AE5"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0BA9B3EC" w14:textId="77777777" w:rsidR="00481AE5" w:rsidRDefault="00000000">
            <w:pPr>
              <w:keepNext/>
              <w:keepLines/>
              <w:spacing w:after="0" w:line="240" w:lineRule="auto"/>
            </w:pPr>
            <w:r>
              <w:rPr>
                <w:sz w:val="18"/>
              </w:rPr>
              <w:t>64</w:t>
            </w:r>
          </w:p>
        </w:tc>
        <w:tc>
          <w:tcPr>
            <w:tcW w:w="1860" w:type="dxa"/>
            <w:tcMar>
              <w:top w:w="0" w:type="dxa"/>
              <w:bottom w:w="0" w:type="dxa"/>
            </w:tcMar>
            <w:vAlign w:val="center"/>
          </w:tcPr>
          <w:p w14:paraId="0868264D" w14:textId="77777777" w:rsidR="00481AE5" w:rsidRDefault="00000000">
            <w:pPr>
              <w:keepNext/>
              <w:keepLines/>
              <w:spacing w:after="0" w:line="240" w:lineRule="auto"/>
              <w:jc w:val="right"/>
            </w:pPr>
            <w:r>
              <w:rPr>
                <w:sz w:val="18"/>
              </w:rPr>
              <w:t>1.202.596,10</w:t>
            </w:r>
          </w:p>
        </w:tc>
        <w:tc>
          <w:tcPr>
            <w:tcW w:w="1860" w:type="dxa"/>
            <w:tcMar>
              <w:top w:w="0" w:type="dxa"/>
              <w:bottom w:w="0" w:type="dxa"/>
            </w:tcMar>
            <w:vAlign w:val="center"/>
          </w:tcPr>
          <w:p w14:paraId="1E9208FA" w14:textId="77777777" w:rsidR="00481AE5" w:rsidRDefault="00000000">
            <w:pPr>
              <w:keepNext/>
              <w:keepLines/>
              <w:spacing w:after="0" w:line="240" w:lineRule="auto"/>
              <w:jc w:val="right"/>
            </w:pPr>
            <w:r>
              <w:rPr>
                <w:sz w:val="18"/>
              </w:rPr>
              <w:t>1.505.060,18</w:t>
            </w:r>
          </w:p>
        </w:tc>
        <w:tc>
          <w:tcPr>
            <w:tcW w:w="700" w:type="dxa"/>
            <w:tcMar>
              <w:top w:w="0" w:type="dxa"/>
              <w:bottom w:w="0" w:type="dxa"/>
            </w:tcMar>
            <w:vAlign w:val="center"/>
          </w:tcPr>
          <w:p w14:paraId="636F30B7" w14:textId="77777777" w:rsidR="00481AE5" w:rsidRDefault="00000000">
            <w:pPr>
              <w:keepNext/>
              <w:keepLines/>
              <w:spacing w:after="0" w:line="240" w:lineRule="auto"/>
              <w:jc w:val="right"/>
            </w:pPr>
            <w:r>
              <w:rPr>
                <w:sz w:val="18"/>
              </w:rPr>
              <w:t>125,2</w:t>
            </w:r>
          </w:p>
        </w:tc>
      </w:tr>
    </w:tbl>
    <w:p w14:paraId="6EEBF627" w14:textId="77777777" w:rsidR="00481AE5" w:rsidRDefault="00481AE5">
      <w:pPr>
        <w:spacing w:after="0"/>
      </w:pPr>
    </w:p>
    <w:p w14:paraId="6D4F2968" w14:textId="77777777" w:rsidR="00481AE5" w:rsidRDefault="00000000">
      <w:r>
        <w:t xml:space="preserve">Prihodi od imovine ostvareni su u iznosu 1.505.060,18 eura te obuhvaćaju prihode od financijske imovine (15.845,33 eura), koji se odnose na prihode od zateznih kamata, te prihode od nefinancijske imovine, odnosno prihode od koncesija na pomorskom dobru (1.489.214,85 eura). Prihodi od imovine su rasli za 25,2% u odnosu na isto razdoblje prethodne godine zbog postizanja većih iznosa koncesijskih naknada, </w:t>
      </w:r>
      <w:proofErr w:type="spellStart"/>
      <w:r>
        <w:t>indeksacije</w:t>
      </w:r>
      <w:proofErr w:type="spellEnd"/>
      <w:r>
        <w:t xml:space="preserve"> fiksnih iznosa koncesijskih naknada kod dugoročnih koncesijskih ugovora te povećanja varijabilnog dijela koncesijske naknade sukladno ugovoru za pružanje usluga putnicima uz korištenje i održavanje objekata lučke </w:t>
      </w:r>
      <w:proofErr w:type="spellStart"/>
      <w:r>
        <w:t>podgradnje</w:t>
      </w:r>
      <w:proofErr w:type="spellEnd"/>
      <w:r>
        <w:t xml:space="preserve"> i lučke nadgradnje na području luke otvorene za javni promet osobitoga (međunarodnoga) gospodarskog interesa za Republiku Hrvatsku – luka Gaženica,  Zadar.</w:t>
      </w:r>
    </w:p>
    <w:p w14:paraId="10F462B6" w14:textId="77777777" w:rsidR="00481AE5" w:rsidRDefault="00481AE5"/>
    <w:p w14:paraId="0A7B9133" w14:textId="77777777" w:rsidR="00481AE5"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08EFFD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7E0407"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6D6AB8"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A3D714"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7F09FD"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AEDBCB"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32CD05" w14:textId="77777777" w:rsidR="00481AE5" w:rsidRDefault="00000000">
            <w:pPr>
              <w:keepNext/>
              <w:keepLines/>
              <w:spacing w:after="0" w:line="240" w:lineRule="auto"/>
              <w:jc w:val="center"/>
            </w:pPr>
            <w:r>
              <w:rPr>
                <w:b/>
                <w:sz w:val="18"/>
              </w:rPr>
              <w:t>Indeks (%)</w:t>
            </w:r>
          </w:p>
        </w:tc>
      </w:tr>
      <w:tr w:rsidR="00481AE5" w14:paraId="1281348D" w14:textId="77777777">
        <w:tblPrEx>
          <w:tblCellMar>
            <w:top w:w="0" w:type="dxa"/>
            <w:bottom w:w="0" w:type="dxa"/>
          </w:tblCellMar>
        </w:tblPrEx>
        <w:trPr>
          <w:cantSplit/>
          <w:trHeight w:val="560"/>
        </w:trPr>
        <w:tc>
          <w:tcPr>
            <w:tcW w:w="700" w:type="dxa"/>
            <w:tcMar>
              <w:top w:w="0" w:type="dxa"/>
              <w:bottom w:w="0" w:type="dxa"/>
            </w:tcMar>
            <w:vAlign w:val="center"/>
          </w:tcPr>
          <w:p w14:paraId="79D26DB0" w14:textId="77777777" w:rsidR="00481AE5" w:rsidRDefault="00000000">
            <w:pPr>
              <w:keepNext/>
              <w:keepLines/>
              <w:spacing w:after="0" w:line="240" w:lineRule="auto"/>
            </w:pPr>
            <w:r>
              <w:rPr>
                <w:sz w:val="18"/>
              </w:rPr>
              <w:t>65</w:t>
            </w:r>
          </w:p>
        </w:tc>
        <w:tc>
          <w:tcPr>
            <w:tcW w:w="3180" w:type="dxa"/>
            <w:tcMar>
              <w:top w:w="0" w:type="dxa"/>
              <w:bottom w:w="0" w:type="dxa"/>
            </w:tcMar>
            <w:vAlign w:val="center"/>
          </w:tcPr>
          <w:p w14:paraId="18C6EE0E" w14:textId="77777777" w:rsidR="00481AE5"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2A73EF8" w14:textId="77777777" w:rsidR="00481AE5" w:rsidRDefault="00000000">
            <w:pPr>
              <w:keepNext/>
              <w:keepLines/>
              <w:spacing w:after="0" w:line="240" w:lineRule="auto"/>
            </w:pPr>
            <w:r>
              <w:rPr>
                <w:sz w:val="18"/>
              </w:rPr>
              <w:t>65</w:t>
            </w:r>
          </w:p>
        </w:tc>
        <w:tc>
          <w:tcPr>
            <w:tcW w:w="1860" w:type="dxa"/>
            <w:tcMar>
              <w:top w:w="0" w:type="dxa"/>
              <w:bottom w:w="0" w:type="dxa"/>
            </w:tcMar>
            <w:vAlign w:val="center"/>
          </w:tcPr>
          <w:p w14:paraId="05276632" w14:textId="77777777" w:rsidR="00481AE5" w:rsidRDefault="00000000">
            <w:pPr>
              <w:keepNext/>
              <w:keepLines/>
              <w:spacing w:after="0" w:line="240" w:lineRule="auto"/>
              <w:jc w:val="right"/>
            </w:pPr>
            <w:r>
              <w:rPr>
                <w:sz w:val="18"/>
              </w:rPr>
              <w:t>4.901.758,08</w:t>
            </w:r>
          </w:p>
        </w:tc>
        <w:tc>
          <w:tcPr>
            <w:tcW w:w="1860" w:type="dxa"/>
            <w:tcMar>
              <w:top w:w="0" w:type="dxa"/>
              <w:bottom w:w="0" w:type="dxa"/>
            </w:tcMar>
            <w:vAlign w:val="center"/>
          </w:tcPr>
          <w:p w14:paraId="5388452F" w14:textId="77777777" w:rsidR="00481AE5" w:rsidRDefault="00000000">
            <w:pPr>
              <w:keepNext/>
              <w:keepLines/>
              <w:spacing w:after="0" w:line="240" w:lineRule="auto"/>
              <w:jc w:val="right"/>
            </w:pPr>
            <w:r>
              <w:rPr>
                <w:sz w:val="18"/>
              </w:rPr>
              <w:t>5.677.702,58</w:t>
            </w:r>
          </w:p>
        </w:tc>
        <w:tc>
          <w:tcPr>
            <w:tcW w:w="700" w:type="dxa"/>
            <w:tcMar>
              <w:top w:w="0" w:type="dxa"/>
              <w:bottom w:w="0" w:type="dxa"/>
            </w:tcMar>
            <w:vAlign w:val="center"/>
          </w:tcPr>
          <w:p w14:paraId="2DD2FEAE" w14:textId="77777777" w:rsidR="00481AE5" w:rsidRDefault="00000000">
            <w:pPr>
              <w:keepNext/>
              <w:keepLines/>
              <w:spacing w:after="0" w:line="240" w:lineRule="auto"/>
              <w:jc w:val="right"/>
            </w:pPr>
            <w:r>
              <w:rPr>
                <w:sz w:val="18"/>
              </w:rPr>
              <w:t>115,8</w:t>
            </w:r>
          </w:p>
        </w:tc>
      </w:tr>
    </w:tbl>
    <w:p w14:paraId="01C9C8D0" w14:textId="77777777" w:rsidR="00481AE5" w:rsidRDefault="00481AE5">
      <w:pPr>
        <w:spacing w:after="0"/>
      </w:pPr>
    </w:p>
    <w:p w14:paraId="352980E5" w14:textId="77777777" w:rsidR="00481AE5" w:rsidRDefault="00000000">
      <w:r>
        <w:t>Prihodi od upravnih i administrativnih pristojbi, pristojbi po posebnim propisima i naknada ostvareni su u iznosu 5.677.702,58 eura. Ovi prihodi ostvarili su rast od 15,8% u odnosu na isto razdoblje prethodne godine ponajviše kao rezultat prihoda ostvarenih na području Marine Zadar (2.924.546,84 eura, rast 27%). Prihodi od pristojbi za upotrebu obale na ostalim područjima pod upravom Lučke uprave Zadar, izuzev Marine, rasli su za 6% u odnosu na isto razdoblje prošle godine.</w:t>
      </w:r>
    </w:p>
    <w:p w14:paraId="1442A6EA" w14:textId="77777777" w:rsidR="00481AE5" w:rsidRDefault="00481AE5"/>
    <w:p w14:paraId="5C0A21B1" w14:textId="77777777" w:rsidR="00481AE5"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21E614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BB7678"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BC940A"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88112F"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0811D7"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A12FCE"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B3F5B5" w14:textId="77777777" w:rsidR="00481AE5" w:rsidRDefault="00000000">
            <w:pPr>
              <w:keepNext/>
              <w:keepLines/>
              <w:spacing w:after="0" w:line="240" w:lineRule="auto"/>
              <w:jc w:val="center"/>
            </w:pPr>
            <w:r>
              <w:rPr>
                <w:b/>
                <w:sz w:val="18"/>
              </w:rPr>
              <w:t>Indeks (%)</w:t>
            </w:r>
          </w:p>
        </w:tc>
      </w:tr>
      <w:tr w:rsidR="00481AE5" w14:paraId="73B068CE" w14:textId="77777777">
        <w:tblPrEx>
          <w:tblCellMar>
            <w:top w:w="0" w:type="dxa"/>
            <w:bottom w:w="0" w:type="dxa"/>
          </w:tblCellMar>
        </w:tblPrEx>
        <w:trPr>
          <w:cantSplit/>
          <w:trHeight w:val="560"/>
        </w:trPr>
        <w:tc>
          <w:tcPr>
            <w:tcW w:w="700" w:type="dxa"/>
            <w:tcMar>
              <w:top w:w="0" w:type="dxa"/>
              <w:bottom w:w="0" w:type="dxa"/>
            </w:tcMar>
            <w:vAlign w:val="center"/>
          </w:tcPr>
          <w:p w14:paraId="12BF3D5F" w14:textId="77777777" w:rsidR="00481AE5" w:rsidRDefault="00000000">
            <w:pPr>
              <w:keepNext/>
              <w:keepLines/>
              <w:spacing w:after="0" w:line="240" w:lineRule="auto"/>
            </w:pPr>
            <w:r>
              <w:rPr>
                <w:sz w:val="18"/>
              </w:rPr>
              <w:t>67</w:t>
            </w:r>
          </w:p>
        </w:tc>
        <w:tc>
          <w:tcPr>
            <w:tcW w:w="3180" w:type="dxa"/>
            <w:tcMar>
              <w:top w:w="0" w:type="dxa"/>
              <w:bottom w:w="0" w:type="dxa"/>
            </w:tcMar>
            <w:vAlign w:val="center"/>
          </w:tcPr>
          <w:p w14:paraId="4DA21FBB" w14:textId="77777777" w:rsidR="00481AE5"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5FA827F1" w14:textId="77777777" w:rsidR="00481AE5" w:rsidRDefault="00000000">
            <w:pPr>
              <w:keepNext/>
              <w:keepLines/>
              <w:spacing w:after="0" w:line="240" w:lineRule="auto"/>
            </w:pPr>
            <w:r>
              <w:rPr>
                <w:sz w:val="18"/>
              </w:rPr>
              <w:t>67</w:t>
            </w:r>
          </w:p>
        </w:tc>
        <w:tc>
          <w:tcPr>
            <w:tcW w:w="1860" w:type="dxa"/>
            <w:tcMar>
              <w:top w:w="0" w:type="dxa"/>
              <w:bottom w:w="0" w:type="dxa"/>
            </w:tcMar>
            <w:vAlign w:val="center"/>
          </w:tcPr>
          <w:p w14:paraId="51112EAD" w14:textId="77777777" w:rsidR="00481AE5" w:rsidRDefault="00000000">
            <w:pPr>
              <w:keepNext/>
              <w:keepLines/>
              <w:spacing w:after="0" w:line="240" w:lineRule="auto"/>
              <w:jc w:val="right"/>
            </w:pPr>
            <w:r>
              <w:rPr>
                <w:sz w:val="18"/>
              </w:rPr>
              <w:t>5.558.635,11</w:t>
            </w:r>
          </w:p>
        </w:tc>
        <w:tc>
          <w:tcPr>
            <w:tcW w:w="1860" w:type="dxa"/>
            <w:tcMar>
              <w:top w:w="0" w:type="dxa"/>
              <w:bottom w:w="0" w:type="dxa"/>
            </w:tcMar>
            <w:vAlign w:val="center"/>
          </w:tcPr>
          <w:p w14:paraId="1B3892CB" w14:textId="77777777" w:rsidR="00481AE5" w:rsidRDefault="00000000">
            <w:pPr>
              <w:keepNext/>
              <w:keepLines/>
              <w:spacing w:after="0" w:line="240" w:lineRule="auto"/>
              <w:jc w:val="right"/>
            </w:pPr>
            <w:r>
              <w:rPr>
                <w:sz w:val="18"/>
              </w:rPr>
              <w:t>5.795.706,75</w:t>
            </w:r>
          </w:p>
        </w:tc>
        <w:tc>
          <w:tcPr>
            <w:tcW w:w="700" w:type="dxa"/>
            <w:tcMar>
              <w:top w:w="0" w:type="dxa"/>
              <w:bottom w:w="0" w:type="dxa"/>
            </w:tcMar>
            <w:vAlign w:val="center"/>
          </w:tcPr>
          <w:p w14:paraId="64643775" w14:textId="77777777" w:rsidR="00481AE5" w:rsidRDefault="00000000">
            <w:pPr>
              <w:keepNext/>
              <w:keepLines/>
              <w:spacing w:after="0" w:line="240" w:lineRule="auto"/>
              <w:jc w:val="right"/>
            </w:pPr>
            <w:r>
              <w:rPr>
                <w:sz w:val="18"/>
              </w:rPr>
              <w:t>104,3</w:t>
            </w:r>
          </w:p>
        </w:tc>
      </w:tr>
    </w:tbl>
    <w:p w14:paraId="51B196DA" w14:textId="77777777" w:rsidR="00481AE5" w:rsidRDefault="00481AE5">
      <w:pPr>
        <w:spacing w:after="0"/>
      </w:pPr>
    </w:p>
    <w:p w14:paraId="24F51851" w14:textId="77777777" w:rsidR="00481AE5" w:rsidRDefault="00000000">
      <w:r>
        <w:t>Prihodi iz Državnog proračuna ostvareni su u iznosu 5.795.707 eura, od čega se 2.020.476 eura odnosi na prihode za financiranje rashoda poslovanja, prihode od nadležnog proračuna za financiranje rashoda za nabavu nefinancijske imovine u iznosu 13.130 eura te 3.762.101 eura na prihode od nadležnog proračuna za financiranje izdataka za financijsku imovinu i otplatu zajmova. </w:t>
      </w:r>
    </w:p>
    <w:p w14:paraId="69B29D36" w14:textId="77777777" w:rsidR="00481AE5" w:rsidRDefault="00000000">
      <w:r>
        <w:t>Prihodima iz nadležnog proračuna za financiranje rashoda poslovanja financirani su:</w:t>
      </w:r>
    </w:p>
    <w:p w14:paraId="04460CE4" w14:textId="77777777" w:rsidR="00481AE5" w:rsidRDefault="00000000">
      <w:r>
        <w:t>•          Rashodi za kamate po zajmu Europske investicijske banke u iznosu 1.620.012 eura </w:t>
      </w:r>
    </w:p>
    <w:p w14:paraId="0E694C5D" w14:textId="77777777" w:rsidR="00481AE5" w:rsidRDefault="00000000">
      <w:r>
        <w:t>•          Rashodi poslovanja na projektu INTERREG VA - ITALIJA - HRVATSKA - Projekt TRANSPONEXT u iznosu 116.485 eura. </w:t>
      </w:r>
    </w:p>
    <w:p w14:paraId="78A354D6" w14:textId="77777777" w:rsidR="00481AE5" w:rsidRDefault="00000000">
      <w:r>
        <w:t>•          Rashodi poslovanja na projektu INTERREG VA - ITALIJA - HRVATSKA - Projekt MILEPORT u iznosu 76.946 eura.</w:t>
      </w:r>
    </w:p>
    <w:p w14:paraId="2CFA99C4" w14:textId="77777777" w:rsidR="00481AE5" w:rsidRDefault="00000000">
      <w:r>
        <w:t>•          Rashodi poslovanja na projektu INTERREG VA - ITALIJA - HRVATSKA - Projekt DIGITPORTS u iznosu 72.704 eura.</w:t>
      </w:r>
    </w:p>
    <w:p w14:paraId="24E9D024" w14:textId="77777777" w:rsidR="00481AE5" w:rsidRDefault="00000000">
      <w:r>
        <w:t>•          Rashodi poslovanja na projektu INTERREG VA - ITALIJA - HRVATSKA - Projekt ADRIJOROUTES u iznosu 110.914 eura.</w:t>
      </w:r>
    </w:p>
    <w:p w14:paraId="38E2CA0C" w14:textId="77777777" w:rsidR="00481AE5" w:rsidRDefault="00000000">
      <w:r>
        <w:t>•          Rashodi poslovanja na projektu INTERREG VA - ITALIJA - HRVATSKA - Projekt PRESPORT u iznosu 10.638 eura.</w:t>
      </w:r>
      <w:r>
        <w:br/>
        <w:t>•           Rashodi poslovanja na projektu Kibernetička sigurnost u hrvatskom pomorskom prometu - CYSCROMS u iznosu 1.077 eura.</w:t>
      </w:r>
    </w:p>
    <w:p w14:paraId="6F6E0772" w14:textId="77777777" w:rsidR="00481AE5" w:rsidRDefault="00000000">
      <w:r>
        <w:lastRenderedPageBreak/>
        <w:t>•           Rashodi poslovanja na projektu  Program konkurentnosti i kohezija  2021.-2027. u iznosu 11.700 eura </w:t>
      </w:r>
      <w:r>
        <w:br/>
        <w:t>Prihodima iz nadležnog proračuna za financiranje rashoda za nabavu nefinancijske imovine financirani su:</w:t>
      </w:r>
      <w:r>
        <w:br/>
        <w:t>-          rashodi za nabavu nefinancijske imovine na projektu Kibernetička sigurnost u hrvatskom pomorskom prometu - CYSCROMS u iznosu 8.753 eura</w:t>
      </w:r>
      <w:r>
        <w:br/>
        <w:t>-          rashodi za nabavu nefinancijske imovine na projektu Program konkurentnosti i kohezija  2021.-2027. u iznosu 4.377 eura.</w:t>
      </w:r>
    </w:p>
    <w:p w14:paraId="6B209F7D" w14:textId="77777777" w:rsidR="00481AE5" w:rsidRDefault="00000000">
      <w:r>
        <w:t>       </w:t>
      </w:r>
      <w:r>
        <w:br/>
        <w:t>Prihodima za financiranje izdataka za financijsku imovinu i otplatu zajmova financirana je otplata zajma Europske investicijske banke u iznosu 3.762.101 eura. Ovi prihodi su na razini prihoda istoga razdoblja prethodne godine.</w:t>
      </w:r>
    </w:p>
    <w:p w14:paraId="5D938102" w14:textId="77777777" w:rsidR="00481AE5" w:rsidRDefault="00481AE5"/>
    <w:p w14:paraId="7EC91AA4" w14:textId="77777777" w:rsidR="00481AE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304869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0FFB85"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30CD31"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3CD3A1"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8F80A9"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479D93"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74E37F" w14:textId="77777777" w:rsidR="00481AE5" w:rsidRDefault="00000000">
            <w:pPr>
              <w:keepNext/>
              <w:keepLines/>
              <w:spacing w:after="0" w:line="240" w:lineRule="auto"/>
              <w:jc w:val="center"/>
            </w:pPr>
            <w:r>
              <w:rPr>
                <w:b/>
                <w:sz w:val="18"/>
              </w:rPr>
              <w:t>Indeks (%)</w:t>
            </w:r>
          </w:p>
        </w:tc>
      </w:tr>
      <w:tr w:rsidR="00481AE5" w14:paraId="231B9B9D" w14:textId="77777777">
        <w:tblPrEx>
          <w:tblCellMar>
            <w:top w:w="0" w:type="dxa"/>
            <w:bottom w:w="0" w:type="dxa"/>
          </w:tblCellMar>
        </w:tblPrEx>
        <w:trPr>
          <w:cantSplit/>
          <w:trHeight w:val="560"/>
        </w:trPr>
        <w:tc>
          <w:tcPr>
            <w:tcW w:w="700" w:type="dxa"/>
            <w:tcMar>
              <w:top w:w="0" w:type="dxa"/>
              <w:bottom w:w="0" w:type="dxa"/>
            </w:tcMar>
            <w:vAlign w:val="center"/>
          </w:tcPr>
          <w:p w14:paraId="65110364" w14:textId="77777777" w:rsidR="00481AE5" w:rsidRDefault="00000000">
            <w:pPr>
              <w:keepNext/>
              <w:keepLines/>
              <w:spacing w:after="0" w:line="240" w:lineRule="auto"/>
            </w:pPr>
            <w:r>
              <w:rPr>
                <w:sz w:val="18"/>
              </w:rPr>
              <w:t>31</w:t>
            </w:r>
          </w:p>
        </w:tc>
        <w:tc>
          <w:tcPr>
            <w:tcW w:w="3180" w:type="dxa"/>
            <w:tcMar>
              <w:top w:w="0" w:type="dxa"/>
              <w:bottom w:w="0" w:type="dxa"/>
            </w:tcMar>
            <w:vAlign w:val="center"/>
          </w:tcPr>
          <w:p w14:paraId="58BC0C90" w14:textId="77777777" w:rsidR="00481AE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13AC61B" w14:textId="77777777" w:rsidR="00481AE5" w:rsidRDefault="00000000">
            <w:pPr>
              <w:keepNext/>
              <w:keepLines/>
              <w:spacing w:after="0" w:line="240" w:lineRule="auto"/>
            </w:pPr>
            <w:r>
              <w:rPr>
                <w:sz w:val="18"/>
              </w:rPr>
              <w:t>31</w:t>
            </w:r>
          </w:p>
        </w:tc>
        <w:tc>
          <w:tcPr>
            <w:tcW w:w="1860" w:type="dxa"/>
            <w:tcMar>
              <w:top w:w="0" w:type="dxa"/>
              <w:bottom w:w="0" w:type="dxa"/>
            </w:tcMar>
            <w:vAlign w:val="center"/>
          </w:tcPr>
          <w:p w14:paraId="06CED2D4" w14:textId="77777777" w:rsidR="00481AE5" w:rsidRDefault="00000000">
            <w:pPr>
              <w:keepNext/>
              <w:keepLines/>
              <w:spacing w:after="0" w:line="240" w:lineRule="auto"/>
              <w:jc w:val="right"/>
            </w:pPr>
            <w:r>
              <w:rPr>
                <w:sz w:val="18"/>
              </w:rPr>
              <w:t>1.284.049,14</w:t>
            </w:r>
          </w:p>
        </w:tc>
        <w:tc>
          <w:tcPr>
            <w:tcW w:w="1860" w:type="dxa"/>
            <w:tcMar>
              <w:top w:w="0" w:type="dxa"/>
              <w:bottom w:w="0" w:type="dxa"/>
            </w:tcMar>
            <w:vAlign w:val="center"/>
          </w:tcPr>
          <w:p w14:paraId="477ABA66" w14:textId="77777777" w:rsidR="00481AE5" w:rsidRDefault="00000000">
            <w:pPr>
              <w:keepNext/>
              <w:keepLines/>
              <w:spacing w:after="0" w:line="240" w:lineRule="auto"/>
              <w:jc w:val="right"/>
            </w:pPr>
            <w:r>
              <w:rPr>
                <w:sz w:val="18"/>
              </w:rPr>
              <w:t>1.581.362,67</w:t>
            </w:r>
          </w:p>
        </w:tc>
        <w:tc>
          <w:tcPr>
            <w:tcW w:w="700" w:type="dxa"/>
            <w:tcMar>
              <w:top w:w="0" w:type="dxa"/>
              <w:bottom w:w="0" w:type="dxa"/>
            </w:tcMar>
            <w:vAlign w:val="center"/>
          </w:tcPr>
          <w:p w14:paraId="4A4DBB6A" w14:textId="77777777" w:rsidR="00481AE5" w:rsidRDefault="00000000">
            <w:pPr>
              <w:keepNext/>
              <w:keepLines/>
              <w:spacing w:after="0" w:line="240" w:lineRule="auto"/>
              <w:jc w:val="right"/>
            </w:pPr>
            <w:r>
              <w:rPr>
                <w:sz w:val="18"/>
              </w:rPr>
              <w:t>123,2</w:t>
            </w:r>
          </w:p>
        </w:tc>
      </w:tr>
    </w:tbl>
    <w:p w14:paraId="752DA229" w14:textId="77777777" w:rsidR="00481AE5" w:rsidRDefault="00481AE5">
      <w:pPr>
        <w:spacing w:after="0"/>
      </w:pPr>
    </w:p>
    <w:p w14:paraId="72B2EDB6" w14:textId="77777777" w:rsidR="00481AE5" w:rsidRDefault="00000000">
      <w:r>
        <w:t>Rashodi za zaposlene ostvareni su u iznosu 1.581.363 eura, što je porast od 23% u odnosu na isto razdoblje prošle godine. Ovaj porast rashoda za zaposlene rezultat je povećanja broja zaposlenih. 6. ožujka 2024. godine izvršena je primopredaja Marine Zadar temeljem Odluke Vlade RH kojom se Lučkoj upravi Zadar na privremeno gospodarsko korištenje dodjeljuje lučko područje luke posebne namjene – luke nautičkog turizma – Marina Zadar i pomorskog dobra na dijelu k.o. Zadar, te je 16 djelatnika Marine Zadar postalo djelatnicima Lučke uprave Zadar. Dijelom je povećanje rashoda za zaposlene rezultat povećanja plaća uslijed primjene Uredbe o nazivima radnih mjesta, uvjetima za raspored i koeficijentima za obračun plaće u javnim službama (NN 22/2024).</w:t>
      </w:r>
    </w:p>
    <w:p w14:paraId="555651D5" w14:textId="77777777" w:rsidR="00481AE5" w:rsidRDefault="00481AE5"/>
    <w:p w14:paraId="6B8E35D0" w14:textId="77777777" w:rsidR="00481AE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650D94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B359CF"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892DC0"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ACC02B"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50BE9"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B6CA44"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7A61FB" w14:textId="77777777" w:rsidR="00481AE5" w:rsidRDefault="00000000">
            <w:pPr>
              <w:keepNext/>
              <w:keepLines/>
              <w:spacing w:after="0" w:line="240" w:lineRule="auto"/>
              <w:jc w:val="center"/>
            </w:pPr>
            <w:r>
              <w:rPr>
                <w:b/>
                <w:sz w:val="18"/>
              </w:rPr>
              <w:t>Indeks (%)</w:t>
            </w:r>
          </w:p>
        </w:tc>
      </w:tr>
      <w:tr w:rsidR="00481AE5" w14:paraId="225F5EC2" w14:textId="77777777">
        <w:tblPrEx>
          <w:tblCellMar>
            <w:top w:w="0" w:type="dxa"/>
            <w:bottom w:w="0" w:type="dxa"/>
          </w:tblCellMar>
        </w:tblPrEx>
        <w:trPr>
          <w:cantSplit/>
          <w:trHeight w:val="560"/>
        </w:trPr>
        <w:tc>
          <w:tcPr>
            <w:tcW w:w="700" w:type="dxa"/>
            <w:tcMar>
              <w:top w:w="0" w:type="dxa"/>
              <w:bottom w:w="0" w:type="dxa"/>
            </w:tcMar>
            <w:vAlign w:val="center"/>
          </w:tcPr>
          <w:p w14:paraId="5503126D" w14:textId="77777777" w:rsidR="00481AE5" w:rsidRDefault="00000000">
            <w:pPr>
              <w:keepNext/>
              <w:keepLines/>
              <w:spacing w:after="0" w:line="240" w:lineRule="auto"/>
            </w:pPr>
            <w:r>
              <w:rPr>
                <w:sz w:val="18"/>
              </w:rPr>
              <w:t>32</w:t>
            </w:r>
          </w:p>
        </w:tc>
        <w:tc>
          <w:tcPr>
            <w:tcW w:w="3180" w:type="dxa"/>
            <w:tcMar>
              <w:top w:w="0" w:type="dxa"/>
              <w:bottom w:w="0" w:type="dxa"/>
            </w:tcMar>
            <w:vAlign w:val="center"/>
          </w:tcPr>
          <w:p w14:paraId="71E6C5B9" w14:textId="77777777" w:rsidR="00481AE5"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3D3C3A27" w14:textId="77777777" w:rsidR="00481AE5" w:rsidRDefault="00000000">
            <w:pPr>
              <w:keepNext/>
              <w:keepLines/>
              <w:spacing w:after="0" w:line="240" w:lineRule="auto"/>
            </w:pPr>
            <w:r>
              <w:rPr>
                <w:sz w:val="18"/>
              </w:rPr>
              <w:t>32</w:t>
            </w:r>
          </w:p>
        </w:tc>
        <w:tc>
          <w:tcPr>
            <w:tcW w:w="1860" w:type="dxa"/>
            <w:tcMar>
              <w:top w:w="0" w:type="dxa"/>
              <w:bottom w:w="0" w:type="dxa"/>
            </w:tcMar>
            <w:vAlign w:val="center"/>
          </w:tcPr>
          <w:p w14:paraId="4A8FAC08" w14:textId="77777777" w:rsidR="00481AE5" w:rsidRDefault="00000000">
            <w:pPr>
              <w:keepNext/>
              <w:keepLines/>
              <w:spacing w:after="0" w:line="240" w:lineRule="auto"/>
              <w:jc w:val="right"/>
            </w:pPr>
            <w:r>
              <w:rPr>
                <w:sz w:val="18"/>
              </w:rPr>
              <w:t>1.720.724,94</w:t>
            </w:r>
          </w:p>
        </w:tc>
        <w:tc>
          <w:tcPr>
            <w:tcW w:w="1860" w:type="dxa"/>
            <w:tcMar>
              <w:top w:w="0" w:type="dxa"/>
              <w:bottom w:w="0" w:type="dxa"/>
            </w:tcMar>
            <w:vAlign w:val="center"/>
          </w:tcPr>
          <w:p w14:paraId="04C77BC9" w14:textId="77777777" w:rsidR="00481AE5" w:rsidRDefault="00000000">
            <w:pPr>
              <w:keepNext/>
              <w:keepLines/>
              <w:spacing w:after="0" w:line="240" w:lineRule="auto"/>
              <w:jc w:val="right"/>
            </w:pPr>
            <w:r>
              <w:rPr>
                <w:sz w:val="18"/>
              </w:rPr>
              <w:t>2.163.661,32</w:t>
            </w:r>
          </w:p>
        </w:tc>
        <w:tc>
          <w:tcPr>
            <w:tcW w:w="700" w:type="dxa"/>
            <w:tcMar>
              <w:top w:w="0" w:type="dxa"/>
              <w:bottom w:w="0" w:type="dxa"/>
            </w:tcMar>
            <w:vAlign w:val="center"/>
          </w:tcPr>
          <w:p w14:paraId="73E48F6E" w14:textId="77777777" w:rsidR="00481AE5" w:rsidRDefault="00000000">
            <w:pPr>
              <w:keepNext/>
              <w:keepLines/>
              <w:spacing w:after="0" w:line="240" w:lineRule="auto"/>
              <w:jc w:val="right"/>
            </w:pPr>
            <w:r>
              <w:rPr>
                <w:sz w:val="18"/>
              </w:rPr>
              <w:t>125,7</w:t>
            </w:r>
          </w:p>
        </w:tc>
      </w:tr>
    </w:tbl>
    <w:p w14:paraId="3FC2EC41" w14:textId="77777777" w:rsidR="00481AE5" w:rsidRDefault="00481AE5">
      <w:pPr>
        <w:spacing w:after="0"/>
      </w:pPr>
    </w:p>
    <w:p w14:paraId="33EE40CC" w14:textId="77777777" w:rsidR="00481AE5" w:rsidRDefault="00000000">
      <w:r>
        <w:t xml:space="preserve">Materijalni rashodi su porasli za 26 % u odnosu na rashode istoga razdoblja prethodne godine. Rasle su gotovo sve kategorije materijalnih rashoda, najvećim dijelom kao posljedica dodjele područja Marine Zadar na privremeno upravljanje (rashodi za energiju, usluge tekućeg i investicijskog održavanja).  Porast rashoda za usluge promidžbe i informiranja (porast 25% u odnosu na isto razdoblje prethodne godine) te intelektualne usluge (porast 155% u odnosu na </w:t>
      </w:r>
      <w:r>
        <w:lastRenderedPageBreak/>
        <w:t>isto razdoblje prethodne godine) rezultat je poduzimanja aktivnosti u sklopu INTERREG projekata ADRIJOROUTES, MILEPORT, DIGITPORTS, TRANSPONEXT i CYSCROMS te projekta Konkurentnost i kohezija.</w:t>
      </w:r>
    </w:p>
    <w:p w14:paraId="56389B03" w14:textId="77777777" w:rsidR="00481AE5" w:rsidRDefault="00481AE5"/>
    <w:p w14:paraId="549FB82D" w14:textId="77777777" w:rsidR="00481AE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2E8862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697A61"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88A184"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A953B1"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FC8830"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017FF0"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96069B" w14:textId="77777777" w:rsidR="00481AE5" w:rsidRDefault="00000000">
            <w:pPr>
              <w:keepNext/>
              <w:keepLines/>
              <w:spacing w:after="0" w:line="240" w:lineRule="auto"/>
              <w:jc w:val="center"/>
            </w:pPr>
            <w:r>
              <w:rPr>
                <w:b/>
                <w:sz w:val="18"/>
              </w:rPr>
              <w:t>Indeks (%)</w:t>
            </w:r>
          </w:p>
        </w:tc>
      </w:tr>
      <w:tr w:rsidR="00481AE5" w14:paraId="4B66C9BB" w14:textId="77777777">
        <w:tblPrEx>
          <w:tblCellMar>
            <w:top w:w="0" w:type="dxa"/>
            <w:bottom w:w="0" w:type="dxa"/>
          </w:tblCellMar>
        </w:tblPrEx>
        <w:trPr>
          <w:cantSplit/>
          <w:trHeight w:val="560"/>
        </w:trPr>
        <w:tc>
          <w:tcPr>
            <w:tcW w:w="700" w:type="dxa"/>
            <w:tcMar>
              <w:top w:w="0" w:type="dxa"/>
              <w:bottom w:w="0" w:type="dxa"/>
            </w:tcMar>
            <w:vAlign w:val="center"/>
          </w:tcPr>
          <w:p w14:paraId="412CC633" w14:textId="77777777" w:rsidR="00481AE5" w:rsidRDefault="00000000">
            <w:pPr>
              <w:keepNext/>
              <w:keepLines/>
              <w:spacing w:after="0" w:line="240" w:lineRule="auto"/>
            </w:pPr>
            <w:r>
              <w:rPr>
                <w:sz w:val="18"/>
              </w:rPr>
              <w:t>34</w:t>
            </w:r>
          </w:p>
        </w:tc>
        <w:tc>
          <w:tcPr>
            <w:tcW w:w="3180" w:type="dxa"/>
            <w:tcMar>
              <w:top w:w="0" w:type="dxa"/>
              <w:bottom w:w="0" w:type="dxa"/>
            </w:tcMar>
            <w:vAlign w:val="center"/>
          </w:tcPr>
          <w:p w14:paraId="6DBC73C8" w14:textId="77777777" w:rsidR="00481AE5"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71B2B704" w14:textId="77777777" w:rsidR="00481AE5" w:rsidRDefault="00000000">
            <w:pPr>
              <w:keepNext/>
              <w:keepLines/>
              <w:spacing w:after="0" w:line="240" w:lineRule="auto"/>
            </w:pPr>
            <w:r>
              <w:rPr>
                <w:sz w:val="18"/>
              </w:rPr>
              <w:t>34</w:t>
            </w:r>
          </w:p>
        </w:tc>
        <w:tc>
          <w:tcPr>
            <w:tcW w:w="1860" w:type="dxa"/>
            <w:tcMar>
              <w:top w:w="0" w:type="dxa"/>
              <w:bottom w:w="0" w:type="dxa"/>
            </w:tcMar>
            <w:vAlign w:val="center"/>
          </w:tcPr>
          <w:p w14:paraId="7023FBED" w14:textId="77777777" w:rsidR="00481AE5" w:rsidRDefault="00000000">
            <w:pPr>
              <w:keepNext/>
              <w:keepLines/>
              <w:spacing w:after="0" w:line="240" w:lineRule="auto"/>
              <w:jc w:val="right"/>
            </w:pPr>
            <w:r>
              <w:rPr>
                <w:sz w:val="18"/>
              </w:rPr>
              <w:t>1.750.625,57</w:t>
            </w:r>
          </w:p>
        </w:tc>
        <w:tc>
          <w:tcPr>
            <w:tcW w:w="1860" w:type="dxa"/>
            <w:tcMar>
              <w:top w:w="0" w:type="dxa"/>
              <w:bottom w:w="0" w:type="dxa"/>
            </w:tcMar>
            <w:vAlign w:val="center"/>
          </w:tcPr>
          <w:p w14:paraId="2F84AD75" w14:textId="77777777" w:rsidR="00481AE5" w:rsidRDefault="00000000">
            <w:pPr>
              <w:keepNext/>
              <w:keepLines/>
              <w:spacing w:after="0" w:line="240" w:lineRule="auto"/>
              <w:jc w:val="right"/>
            </w:pPr>
            <w:r>
              <w:rPr>
                <w:sz w:val="18"/>
              </w:rPr>
              <w:t>1.620.757,60</w:t>
            </w:r>
          </w:p>
        </w:tc>
        <w:tc>
          <w:tcPr>
            <w:tcW w:w="700" w:type="dxa"/>
            <w:tcMar>
              <w:top w:w="0" w:type="dxa"/>
              <w:bottom w:w="0" w:type="dxa"/>
            </w:tcMar>
            <w:vAlign w:val="center"/>
          </w:tcPr>
          <w:p w14:paraId="0FFF2CCF" w14:textId="77777777" w:rsidR="00481AE5" w:rsidRDefault="00000000">
            <w:pPr>
              <w:keepNext/>
              <w:keepLines/>
              <w:spacing w:after="0" w:line="240" w:lineRule="auto"/>
              <w:jc w:val="right"/>
            </w:pPr>
            <w:r>
              <w:rPr>
                <w:sz w:val="18"/>
              </w:rPr>
              <w:t>92,6</w:t>
            </w:r>
          </w:p>
        </w:tc>
      </w:tr>
    </w:tbl>
    <w:p w14:paraId="4155DE2E" w14:textId="77777777" w:rsidR="00481AE5" w:rsidRDefault="00481AE5">
      <w:pPr>
        <w:spacing w:after="0"/>
      </w:pPr>
    </w:p>
    <w:p w14:paraId="16395CFC" w14:textId="77777777" w:rsidR="00481AE5" w:rsidRDefault="00000000">
      <w:r>
        <w:t>Financijski rashodi odnose se na kamate po zajmu Europske investicijske banke. Zajam je u kontinuiranoj otplati te su stoga i rashodi za kamate 7% manji u odnosu na isto razdoblje prethodne godine.</w:t>
      </w:r>
    </w:p>
    <w:p w14:paraId="31B0F3F5" w14:textId="77777777" w:rsidR="00481AE5" w:rsidRDefault="00481AE5"/>
    <w:p w14:paraId="6C8BD19F" w14:textId="77777777" w:rsidR="00481AE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5F55BC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F5B5E0"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4F289E"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D611DD"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78044E"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4A06F2"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F926E3" w14:textId="77777777" w:rsidR="00481AE5" w:rsidRDefault="00000000">
            <w:pPr>
              <w:keepNext/>
              <w:keepLines/>
              <w:spacing w:after="0" w:line="240" w:lineRule="auto"/>
              <w:jc w:val="center"/>
            </w:pPr>
            <w:r>
              <w:rPr>
                <w:b/>
                <w:sz w:val="18"/>
              </w:rPr>
              <w:t>Indeks (%)</w:t>
            </w:r>
          </w:p>
        </w:tc>
      </w:tr>
      <w:tr w:rsidR="00481AE5" w14:paraId="4B507C24" w14:textId="77777777">
        <w:tblPrEx>
          <w:tblCellMar>
            <w:top w:w="0" w:type="dxa"/>
            <w:bottom w:w="0" w:type="dxa"/>
          </w:tblCellMar>
        </w:tblPrEx>
        <w:trPr>
          <w:cantSplit/>
          <w:trHeight w:val="560"/>
        </w:trPr>
        <w:tc>
          <w:tcPr>
            <w:tcW w:w="700" w:type="dxa"/>
            <w:tcMar>
              <w:top w:w="0" w:type="dxa"/>
              <w:bottom w:w="0" w:type="dxa"/>
            </w:tcMar>
            <w:vAlign w:val="center"/>
          </w:tcPr>
          <w:p w14:paraId="772A0233" w14:textId="77777777" w:rsidR="00481AE5" w:rsidRDefault="00000000">
            <w:pPr>
              <w:keepNext/>
              <w:keepLines/>
              <w:spacing w:after="0" w:line="240" w:lineRule="auto"/>
            </w:pPr>
            <w:r>
              <w:rPr>
                <w:sz w:val="18"/>
              </w:rPr>
              <w:t>41</w:t>
            </w:r>
          </w:p>
        </w:tc>
        <w:tc>
          <w:tcPr>
            <w:tcW w:w="3180" w:type="dxa"/>
            <w:tcMar>
              <w:top w:w="0" w:type="dxa"/>
              <w:bottom w:w="0" w:type="dxa"/>
            </w:tcMar>
            <w:vAlign w:val="center"/>
          </w:tcPr>
          <w:p w14:paraId="21A35A9C" w14:textId="77777777" w:rsidR="00481AE5" w:rsidRDefault="00000000">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12D7E4B9" w14:textId="77777777" w:rsidR="00481AE5" w:rsidRDefault="00000000">
            <w:pPr>
              <w:keepNext/>
              <w:keepLines/>
              <w:spacing w:after="0" w:line="240" w:lineRule="auto"/>
            </w:pPr>
            <w:r>
              <w:rPr>
                <w:sz w:val="18"/>
              </w:rPr>
              <w:t>41</w:t>
            </w:r>
          </w:p>
        </w:tc>
        <w:tc>
          <w:tcPr>
            <w:tcW w:w="1860" w:type="dxa"/>
            <w:tcMar>
              <w:top w:w="0" w:type="dxa"/>
              <w:bottom w:w="0" w:type="dxa"/>
            </w:tcMar>
            <w:vAlign w:val="center"/>
          </w:tcPr>
          <w:p w14:paraId="7F6E3CB5" w14:textId="77777777" w:rsidR="00481AE5" w:rsidRDefault="00000000">
            <w:pPr>
              <w:keepNext/>
              <w:keepLines/>
              <w:spacing w:after="0" w:line="240" w:lineRule="auto"/>
              <w:jc w:val="right"/>
            </w:pPr>
            <w:r>
              <w:rPr>
                <w:sz w:val="18"/>
              </w:rPr>
              <w:t>64.275,00</w:t>
            </w:r>
          </w:p>
        </w:tc>
        <w:tc>
          <w:tcPr>
            <w:tcW w:w="1860" w:type="dxa"/>
            <w:tcMar>
              <w:top w:w="0" w:type="dxa"/>
              <w:bottom w:w="0" w:type="dxa"/>
            </w:tcMar>
            <w:vAlign w:val="center"/>
          </w:tcPr>
          <w:p w14:paraId="431BF21A" w14:textId="77777777" w:rsidR="00481AE5" w:rsidRDefault="00000000">
            <w:pPr>
              <w:keepNext/>
              <w:keepLines/>
              <w:spacing w:after="0" w:line="240" w:lineRule="auto"/>
              <w:jc w:val="right"/>
            </w:pPr>
            <w:r>
              <w:rPr>
                <w:sz w:val="18"/>
              </w:rPr>
              <w:t>26.325,00</w:t>
            </w:r>
          </w:p>
        </w:tc>
        <w:tc>
          <w:tcPr>
            <w:tcW w:w="700" w:type="dxa"/>
            <w:tcMar>
              <w:top w:w="0" w:type="dxa"/>
              <w:bottom w:w="0" w:type="dxa"/>
            </w:tcMar>
            <w:vAlign w:val="center"/>
          </w:tcPr>
          <w:p w14:paraId="22239D26" w14:textId="77777777" w:rsidR="00481AE5" w:rsidRDefault="00000000">
            <w:pPr>
              <w:keepNext/>
              <w:keepLines/>
              <w:spacing w:after="0" w:line="240" w:lineRule="auto"/>
              <w:jc w:val="right"/>
            </w:pPr>
            <w:r>
              <w:rPr>
                <w:sz w:val="18"/>
              </w:rPr>
              <w:t>41,0</w:t>
            </w:r>
          </w:p>
        </w:tc>
      </w:tr>
    </w:tbl>
    <w:p w14:paraId="69B759E7" w14:textId="77777777" w:rsidR="00481AE5" w:rsidRDefault="00481AE5">
      <w:pPr>
        <w:spacing w:after="0"/>
      </w:pPr>
    </w:p>
    <w:p w14:paraId="3A00D12E" w14:textId="77777777" w:rsidR="00481AE5" w:rsidRDefault="00000000">
      <w:r>
        <w:t xml:space="preserve">Rashodi za nabavu </w:t>
      </w:r>
      <w:proofErr w:type="spellStart"/>
      <w:r>
        <w:t>neproizvedene</w:t>
      </w:r>
      <w:proofErr w:type="spellEnd"/>
      <w:r>
        <w:t xml:space="preserve"> dugotrajne imovine iznosili su ukupno 26.325,00 eura te obuhvaćaju ulaganje u izradu plana sigurnosne zaštite lučkih područja (23.200 eura) te izradu </w:t>
      </w:r>
      <w:proofErr w:type="spellStart"/>
      <w:r>
        <w:t>masterplana</w:t>
      </w:r>
      <w:proofErr w:type="spellEnd"/>
      <w:r>
        <w:t xml:space="preserve"> teretne luke Gaženica (3.125 eura). </w:t>
      </w:r>
    </w:p>
    <w:p w14:paraId="4C659885" w14:textId="77777777" w:rsidR="00481AE5" w:rsidRDefault="00481AE5"/>
    <w:p w14:paraId="7098F2BE" w14:textId="77777777" w:rsidR="00481AE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1C9282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A5475A"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AF29EC"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E847F5"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1D5A58"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1FC1BB"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57DBA8" w14:textId="77777777" w:rsidR="00481AE5" w:rsidRDefault="00000000">
            <w:pPr>
              <w:keepNext/>
              <w:keepLines/>
              <w:spacing w:after="0" w:line="240" w:lineRule="auto"/>
              <w:jc w:val="center"/>
            </w:pPr>
            <w:r>
              <w:rPr>
                <w:b/>
                <w:sz w:val="18"/>
              </w:rPr>
              <w:t>Indeks (%)</w:t>
            </w:r>
          </w:p>
        </w:tc>
      </w:tr>
      <w:tr w:rsidR="00481AE5" w14:paraId="50190A4F" w14:textId="77777777">
        <w:tblPrEx>
          <w:tblCellMar>
            <w:top w:w="0" w:type="dxa"/>
            <w:bottom w:w="0" w:type="dxa"/>
          </w:tblCellMar>
        </w:tblPrEx>
        <w:trPr>
          <w:cantSplit/>
          <w:trHeight w:val="560"/>
        </w:trPr>
        <w:tc>
          <w:tcPr>
            <w:tcW w:w="700" w:type="dxa"/>
            <w:tcMar>
              <w:top w:w="0" w:type="dxa"/>
              <w:bottom w:w="0" w:type="dxa"/>
            </w:tcMar>
            <w:vAlign w:val="center"/>
          </w:tcPr>
          <w:p w14:paraId="3BAF5EAA" w14:textId="77777777" w:rsidR="00481AE5" w:rsidRDefault="00000000">
            <w:pPr>
              <w:keepNext/>
              <w:keepLines/>
              <w:spacing w:after="0" w:line="240" w:lineRule="auto"/>
            </w:pPr>
            <w:r>
              <w:rPr>
                <w:sz w:val="18"/>
              </w:rPr>
              <w:t>42</w:t>
            </w:r>
          </w:p>
        </w:tc>
        <w:tc>
          <w:tcPr>
            <w:tcW w:w="3180" w:type="dxa"/>
            <w:tcMar>
              <w:top w:w="0" w:type="dxa"/>
              <w:bottom w:w="0" w:type="dxa"/>
            </w:tcMar>
            <w:vAlign w:val="center"/>
          </w:tcPr>
          <w:p w14:paraId="51CF61D8" w14:textId="77777777" w:rsidR="00481AE5"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1BE97D41" w14:textId="77777777" w:rsidR="00481AE5" w:rsidRDefault="00000000">
            <w:pPr>
              <w:keepNext/>
              <w:keepLines/>
              <w:spacing w:after="0" w:line="240" w:lineRule="auto"/>
            </w:pPr>
            <w:r>
              <w:rPr>
                <w:sz w:val="18"/>
              </w:rPr>
              <w:t>42</w:t>
            </w:r>
          </w:p>
        </w:tc>
        <w:tc>
          <w:tcPr>
            <w:tcW w:w="1860" w:type="dxa"/>
            <w:tcMar>
              <w:top w:w="0" w:type="dxa"/>
              <w:bottom w:w="0" w:type="dxa"/>
            </w:tcMar>
            <w:vAlign w:val="center"/>
          </w:tcPr>
          <w:p w14:paraId="6776DBA9" w14:textId="77777777" w:rsidR="00481AE5" w:rsidRDefault="00000000">
            <w:pPr>
              <w:keepNext/>
              <w:keepLines/>
              <w:spacing w:after="0" w:line="240" w:lineRule="auto"/>
              <w:jc w:val="right"/>
            </w:pPr>
            <w:r>
              <w:rPr>
                <w:sz w:val="18"/>
              </w:rPr>
              <w:t>3.274.157,27</w:t>
            </w:r>
          </w:p>
        </w:tc>
        <w:tc>
          <w:tcPr>
            <w:tcW w:w="1860" w:type="dxa"/>
            <w:tcMar>
              <w:top w:w="0" w:type="dxa"/>
              <w:bottom w:w="0" w:type="dxa"/>
            </w:tcMar>
            <w:vAlign w:val="center"/>
          </w:tcPr>
          <w:p w14:paraId="55D5D34F" w14:textId="77777777" w:rsidR="00481AE5" w:rsidRDefault="00000000">
            <w:pPr>
              <w:keepNext/>
              <w:keepLines/>
              <w:spacing w:after="0" w:line="240" w:lineRule="auto"/>
              <w:jc w:val="right"/>
            </w:pPr>
            <w:r>
              <w:rPr>
                <w:sz w:val="18"/>
              </w:rPr>
              <w:t>4.159.753,93</w:t>
            </w:r>
          </w:p>
        </w:tc>
        <w:tc>
          <w:tcPr>
            <w:tcW w:w="700" w:type="dxa"/>
            <w:tcMar>
              <w:top w:w="0" w:type="dxa"/>
              <w:bottom w:w="0" w:type="dxa"/>
            </w:tcMar>
            <w:vAlign w:val="center"/>
          </w:tcPr>
          <w:p w14:paraId="071873A4" w14:textId="77777777" w:rsidR="00481AE5" w:rsidRDefault="00000000">
            <w:pPr>
              <w:keepNext/>
              <w:keepLines/>
              <w:spacing w:after="0" w:line="240" w:lineRule="auto"/>
              <w:jc w:val="right"/>
            </w:pPr>
            <w:r>
              <w:rPr>
                <w:sz w:val="18"/>
              </w:rPr>
              <w:t>127,0</w:t>
            </w:r>
          </w:p>
        </w:tc>
      </w:tr>
    </w:tbl>
    <w:p w14:paraId="6BAD4739" w14:textId="77777777" w:rsidR="00481AE5" w:rsidRDefault="00481AE5">
      <w:pPr>
        <w:spacing w:after="0"/>
      </w:pPr>
    </w:p>
    <w:p w14:paraId="71923D55" w14:textId="77777777" w:rsidR="00481AE5" w:rsidRDefault="00000000">
      <w:r>
        <w:t>Rashodi za nabavu proizvedene nefinancijske imovine iznosili su 4.159.754 eura. Najveći dio odnosi se na ulaganja u projekte:</w:t>
      </w:r>
    </w:p>
    <w:p w14:paraId="1247C7D0" w14:textId="77777777" w:rsidR="00481AE5" w:rsidRDefault="00000000">
      <w:r>
        <w:t>-           Ulaganja u sanaciju, rekonstrukciju i modernizaciju teretne luke Gaženica  – 3.868.059 eura</w:t>
      </w:r>
    </w:p>
    <w:p w14:paraId="66C9399F" w14:textId="77777777" w:rsidR="00481AE5" w:rsidRDefault="00000000">
      <w:r>
        <w:t>-           Ulaganja u opremu u svrhu uspostavljanja Sustava za mjerenje kvalitete zraka – 9.925 eura</w:t>
      </w:r>
    </w:p>
    <w:p w14:paraId="50B47867" w14:textId="77777777" w:rsidR="00481AE5" w:rsidRDefault="00000000">
      <w:r>
        <w:t>-           Ulaganja u sanaciju Istarske obale u iznosu 161.261 eura</w:t>
      </w:r>
    </w:p>
    <w:p w14:paraId="367BF9FC" w14:textId="77777777" w:rsidR="00481AE5" w:rsidRDefault="00000000">
      <w:r>
        <w:lastRenderedPageBreak/>
        <w:t>-           Ulaganja u računalnu opremu u okviru projekta CYSCROMS u iznosu 87.528 eura.</w:t>
      </w:r>
    </w:p>
    <w:p w14:paraId="4D3207F8" w14:textId="77777777" w:rsidR="00481AE5" w:rsidRDefault="00481AE5"/>
    <w:p w14:paraId="1368A39E" w14:textId="77777777" w:rsidR="00481AE5"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4F4F60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5994CE"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AE6359"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26363B"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FB5AA9" w14:textId="77777777" w:rsidR="00481AE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D1EE86" w14:textId="77777777" w:rsidR="00481AE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B83829" w14:textId="77777777" w:rsidR="00481AE5" w:rsidRDefault="00000000">
            <w:pPr>
              <w:keepNext/>
              <w:keepLines/>
              <w:spacing w:after="0" w:line="240" w:lineRule="auto"/>
              <w:jc w:val="center"/>
            </w:pPr>
            <w:r>
              <w:rPr>
                <w:b/>
                <w:sz w:val="18"/>
              </w:rPr>
              <w:t>Indeks (%)</w:t>
            </w:r>
          </w:p>
        </w:tc>
      </w:tr>
      <w:tr w:rsidR="00481AE5" w14:paraId="7FDFD650" w14:textId="77777777">
        <w:tblPrEx>
          <w:tblCellMar>
            <w:top w:w="0" w:type="dxa"/>
            <w:bottom w:w="0" w:type="dxa"/>
          </w:tblCellMar>
        </w:tblPrEx>
        <w:trPr>
          <w:cantSplit/>
          <w:trHeight w:val="560"/>
        </w:trPr>
        <w:tc>
          <w:tcPr>
            <w:tcW w:w="700" w:type="dxa"/>
            <w:tcMar>
              <w:top w:w="0" w:type="dxa"/>
              <w:bottom w:w="0" w:type="dxa"/>
            </w:tcMar>
            <w:vAlign w:val="center"/>
          </w:tcPr>
          <w:p w14:paraId="3337E21B" w14:textId="77777777" w:rsidR="00481AE5" w:rsidRDefault="00000000">
            <w:pPr>
              <w:keepNext/>
              <w:keepLines/>
              <w:spacing w:after="0" w:line="240" w:lineRule="auto"/>
            </w:pPr>
            <w:r>
              <w:rPr>
                <w:sz w:val="18"/>
              </w:rPr>
              <w:t>54</w:t>
            </w:r>
          </w:p>
        </w:tc>
        <w:tc>
          <w:tcPr>
            <w:tcW w:w="3180" w:type="dxa"/>
            <w:tcMar>
              <w:top w:w="0" w:type="dxa"/>
              <w:bottom w:w="0" w:type="dxa"/>
            </w:tcMar>
            <w:vAlign w:val="center"/>
          </w:tcPr>
          <w:p w14:paraId="01E9FA55" w14:textId="77777777" w:rsidR="00481AE5"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08353E2A" w14:textId="77777777" w:rsidR="00481AE5" w:rsidRDefault="00000000">
            <w:pPr>
              <w:keepNext/>
              <w:keepLines/>
              <w:spacing w:after="0" w:line="240" w:lineRule="auto"/>
            </w:pPr>
            <w:r>
              <w:rPr>
                <w:sz w:val="18"/>
              </w:rPr>
              <w:t>54</w:t>
            </w:r>
          </w:p>
        </w:tc>
        <w:tc>
          <w:tcPr>
            <w:tcW w:w="1860" w:type="dxa"/>
            <w:tcMar>
              <w:top w:w="0" w:type="dxa"/>
              <w:bottom w:w="0" w:type="dxa"/>
            </w:tcMar>
            <w:vAlign w:val="center"/>
          </w:tcPr>
          <w:p w14:paraId="7D9E75F9" w14:textId="77777777" w:rsidR="00481AE5" w:rsidRDefault="00000000">
            <w:pPr>
              <w:keepNext/>
              <w:keepLines/>
              <w:spacing w:after="0" w:line="240" w:lineRule="auto"/>
              <w:jc w:val="right"/>
            </w:pPr>
            <w:r>
              <w:rPr>
                <w:sz w:val="18"/>
              </w:rPr>
              <w:t>3.762.101,30</w:t>
            </w:r>
          </w:p>
        </w:tc>
        <w:tc>
          <w:tcPr>
            <w:tcW w:w="1860" w:type="dxa"/>
            <w:tcMar>
              <w:top w:w="0" w:type="dxa"/>
              <w:bottom w:w="0" w:type="dxa"/>
            </w:tcMar>
            <w:vAlign w:val="center"/>
          </w:tcPr>
          <w:p w14:paraId="4320C271" w14:textId="77777777" w:rsidR="00481AE5" w:rsidRDefault="00000000">
            <w:pPr>
              <w:keepNext/>
              <w:keepLines/>
              <w:spacing w:after="0" w:line="240" w:lineRule="auto"/>
              <w:jc w:val="right"/>
            </w:pPr>
            <w:r>
              <w:rPr>
                <w:sz w:val="18"/>
              </w:rPr>
              <w:t>3.762.101,30</w:t>
            </w:r>
          </w:p>
        </w:tc>
        <w:tc>
          <w:tcPr>
            <w:tcW w:w="700" w:type="dxa"/>
            <w:tcMar>
              <w:top w:w="0" w:type="dxa"/>
              <w:bottom w:w="0" w:type="dxa"/>
            </w:tcMar>
            <w:vAlign w:val="center"/>
          </w:tcPr>
          <w:p w14:paraId="5AD03075" w14:textId="77777777" w:rsidR="00481AE5" w:rsidRDefault="00000000">
            <w:pPr>
              <w:keepNext/>
              <w:keepLines/>
              <w:spacing w:after="0" w:line="240" w:lineRule="auto"/>
              <w:jc w:val="right"/>
            </w:pPr>
            <w:r>
              <w:rPr>
                <w:sz w:val="18"/>
              </w:rPr>
              <w:t>100</w:t>
            </w:r>
          </w:p>
        </w:tc>
      </w:tr>
    </w:tbl>
    <w:p w14:paraId="492DA4C9" w14:textId="77777777" w:rsidR="00481AE5" w:rsidRDefault="00481AE5">
      <w:pPr>
        <w:spacing w:after="0"/>
      </w:pPr>
    </w:p>
    <w:p w14:paraId="7717983F" w14:textId="77777777" w:rsidR="00481AE5" w:rsidRDefault="00000000">
      <w:r>
        <w:t>Izdaci za financijsku imovinu i otplate zajmova odnose se na otplatu zajma Europske investicijske banke, kojim je financirana izgradnja Nove luke Gaženica. Ovi izdaci su na razini rashoda istog razdoblja prethodne godine.</w:t>
      </w:r>
    </w:p>
    <w:p w14:paraId="5F3891EF" w14:textId="77777777" w:rsidR="00481AE5" w:rsidRDefault="00481AE5"/>
    <w:p w14:paraId="18437124" w14:textId="77777777" w:rsidR="00481AE5" w:rsidRDefault="00000000">
      <w:pPr>
        <w:keepNext/>
        <w:spacing w:line="240" w:lineRule="auto"/>
        <w:jc w:val="center"/>
      </w:pPr>
      <w:r>
        <w:rPr>
          <w:b/>
          <w:sz w:val="28"/>
        </w:rPr>
        <w:t>Bilanca</w:t>
      </w:r>
    </w:p>
    <w:p w14:paraId="6E583A75" w14:textId="77777777" w:rsidR="00481AE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363DCC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C7862D"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7346F1"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752FD2"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B83B78" w14:textId="77777777" w:rsidR="00481AE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CE3C91" w14:textId="77777777" w:rsidR="00481AE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F65593" w14:textId="77777777" w:rsidR="00481AE5" w:rsidRDefault="00000000">
            <w:pPr>
              <w:keepNext/>
              <w:keepLines/>
              <w:spacing w:after="0" w:line="240" w:lineRule="auto"/>
              <w:jc w:val="center"/>
            </w:pPr>
            <w:r>
              <w:rPr>
                <w:b/>
                <w:sz w:val="18"/>
              </w:rPr>
              <w:t>Indeks (%)</w:t>
            </w:r>
          </w:p>
        </w:tc>
      </w:tr>
      <w:tr w:rsidR="00481AE5" w14:paraId="219777B2" w14:textId="77777777">
        <w:tblPrEx>
          <w:tblCellMar>
            <w:top w:w="0" w:type="dxa"/>
            <w:bottom w:w="0" w:type="dxa"/>
          </w:tblCellMar>
        </w:tblPrEx>
        <w:trPr>
          <w:cantSplit/>
          <w:trHeight w:val="560"/>
        </w:trPr>
        <w:tc>
          <w:tcPr>
            <w:tcW w:w="700" w:type="dxa"/>
            <w:tcMar>
              <w:top w:w="0" w:type="dxa"/>
              <w:bottom w:w="0" w:type="dxa"/>
            </w:tcMar>
            <w:vAlign w:val="center"/>
          </w:tcPr>
          <w:p w14:paraId="7BDB6479" w14:textId="77777777" w:rsidR="00481AE5" w:rsidRDefault="00000000">
            <w:pPr>
              <w:keepNext/>
              <w:keepLines/>
              <w:spacing w:after="0" w:line="240" w:lineRule="auto"/>
            </w:pPr>
            <w:r>
              <w:rPr>
                <w:sz w:val="18"/>
              </w:rPr>
              <w:t>0</w:t>
            </w:r>
          </w:p>
        </w:tc>
        <w:tc>
          <w:tcPr>
            <w:tcW w:w="3180" w:type="dxa"/>
            <w:tcMar>
              <w:top w:w="0" w:type="dxa"/>
              <w:bottom w:w="0" w:type="dxa"/>
            </w:tcMar>
            <w:vAlign w:val="center"/>
          </w:tcPr>
          <w:p w14:paraId="2AAA8093" w14:textId="77777777" w:rsidR="00481AE5"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6A1362BD" w14:textId="77777777" w:rsidR="00481AE5" w:rsidRDefault="00000000">
            <w:pPr>
              <w:keepNext/>
              <w:keepLines/>
              <w:spacing w:after="0" w:line="240" w:lineRule="auto"/>
            </w:pPr>
            <w:r>
              <w:rPr>
                <w:sz w:val="18"/>
              </w:rPr>
              <w:t>B002</w:t>
            </w:r>
          </w:p>
        </w:tc>
        <w:tc>
          <w:tcPr>
            <w:tcW w:w="1860" w:type="dxa"/>
            <w:tcMar>
              <w:top w:w="0" w:type="dxa"/>
              <w:bottom w:w="0" w:type="dxa"/>
            </w:tcMar>
            <w:vAlign w:val="center"/>
          </w:tcPr>
          <w:p w14:paraId="04BFD69D" w14:textId="77777777" w:rsidR="00481AE5" w:rsidRDefault="00000000">
            <w:pPr>
              <w:keepNext/>
              <w:keepLines/>
              <w:spacing w:after="0" w:line="240" w:lineRule="auto"/>
              <w:jc w:val="right"/>
            </w:pPr>
            <w:r>
              <w:rPr>
                <w:sz w:val="18"/>
              </w:rPr>
              <w:t>246.104.772,50</w:t>
            </w:r>
          </w:p>
        </w:tc>
        <w:tc>
          <w:tcPr>
            <w:tcW w:w="1860" w:type="dxa"/>
            <w:tcMar>
              <w:top w:w="0" w:type="dxa"/>
              <w:bottom w:w="0" w:type="dxa"/>
            </w:tcMar>
            <w:vAlign w:val="center"/>
          </w:tcPr>
          <w:p w14:paraId="4E98F25E" w14:textId="77777777" w:rsidR="00481AE5" w:rsidRDefault="00000000">
            <w:pPr>
              <w:keepNext/>
              <w:keepLines/>
              <w:spacing w:after="0" w:line="240" w:lineRule="auto"/>
              <w:jc w:val="right"/>
            </w:pPr>
            <w:r>
              <w:rPr>
                <w:sz w:val="18"/>
              </w:rPr>
              <w:t>244.610.739,26</w:t>
            </w:r>
          </w:p>
        </w:tc>
        <w:tc>
          <w:tcPr>
            <w:tcW w:w="700" w:type="dxa"/>
            <w:tcMar>
              <w:top w:w="0" w:type="dxa"/>
              <w:bottom w:w="0" w:type="dxa"/>
            </w:tcMar>
            <w:vAlign w:val="center"/>
          </w:tcPr>
          <w:p w14:paraId="5C96D5DD" w14:textId="77777777" w:rsidR="00481AE5" w:rsidRDefault="00000000">
            <w:pPr>
              <w:keepNext/>
              <w:keepLines/>
              <w:spacing w:after="0" w:line="240" w:lineRule="auto"/>
              <w:jc w:val="right"/>
            </w:pPr>
            <w:r>
              <w:rPr>
                <w:sz w:val="18"/>
              </w:rPr>
              <w:t>99,4</w:t>
            </w:r>
          </w:p>
        </w:tc>
      </w:tr>
    </w:tbl>
    <w:p w14:paraId="4AD7BD88" w14:textId="77777777" w:rsidR="00481AE5" w:rsidRDefault="00481AE5">
      <w:pPr>
        <w:spacing w:after="0"/>
      </w:pPr>
    </w:p>
    <w:p w14:paraId="518EEA63" w14:textId="77777777" w:rsidR="00481AE5" w:rsidRDefault="00000000">
      <w:r>
        <w:t xml:space="preserve">U 2025. godini ulaganja u </w:t>
      </w:r>
      <w:proofErr w:type="spellStart"/>
      <w:r>
        <w:t>neproizvedenu</w:t>
      </w:r>
      <w:proofErr w:type="spellEnd"/>
      <w:r>
        <w:t xml:space="preserve"> dugotrajnu imovinu iznosila su 26.325 eura te obuhvaćaju ulaganje u izradu plana sigurnosne zaštite lučkih područja (23.200 eura) te izradu </w:t>
      </w:r>
      <w:proofErr w:type="spellStart"/>
      <w:r>
        <w:t>masterplana</w:t>
      </w:r>
      <w:proofErr w:type="spellEnd"/>
      <w:r>
        <w:t xml:space="preserve"> teretne luke Gaženica (3.125 eura).</w:t>
      </w:r>
    </w:p>
    <w:p w14:paraId="72C2CBF3" w14:textId="77777777" w:rsidR="00481AE5" w:rsidRDefault="00481AE5"/>
    <w:p w14:paraId="36173060" w14:textId="77777777" w:rsidR="00481AE5"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54DD4E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79989"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B9DB42"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1D5F8D"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E75F43" w14:textId="77777777" w:rsidR="00481AE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3E92A3" w14:textId="77777777" w:rsidR="00481AE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8C5673" w14:textId="77777777" w:rsidR="00481AE5" w:rsidRDefault="00000000">
            <w:pPr>
              <w:keepNext/>
              <w:keepLines/>
              <w:spacing w:after="0" w:line="240" w:lineRule="auto"/>
              <w:jc w:val="center"/>
            </w:pPr>
            <w:r>
              <w:rPr>
                <w:b/>
                <w:sz w:val="18"/>
              </w:rPr>
              <w:t>Indeks (%)</w:t>
            </w:r>
          </w:p>
        </w:tc>
      </w:tr>
      <w:tr w:rsidR="00481AE5" w14:paraId="49BBDC98" w14:textId="77777777">
        <w:tblPrEx>
          <w:tblCellMar>
            <w:top w:w="0" w:type="dxa"/>
            <w:bottom w:w="0" w:type="dxa"/>
          </w:tblCellMar>
        </w:tblPrEx>
        <w:trPr>
          <w:cantSplit/>
          <w:trHeight w:val="560"/>
        </w:trPr>
        <w:tc>
          <w:tcPr>
            <w:tcW w:w="700" w:type="dxa"/>
            <w:tcMar>
              <w:top w:w="0" w:type="dxa"/>
              <w:bottom w:w="0" w:type="dxa"/>
            </w:tcMar>
            <w:vAlign w:val="center"/>
          </w:tcPr>
          <w:p w14:paraId="491A2EDD" w14:textId="77777777" w:rsidR="00481AE5" w:rsidRDefault="00000000">
            <w:pPr>
              <w:keepNext/>
              <w:keepLines/>
              <w:spacing w:after="0" w:line="240" w:lineRule="auto"/>
            </w:pPr>
            <w:r>
              <w:rPr>
                <w:sz w:val="18"/>
              </w:rPr>
              <w:t>02</w:t>
            </w:r>
          </w:p>
        </w:tc>
        <w:tc>
          <w:tcPr>
            <w:tcW w:w="3180" w:type="dxa"/>
            <w:tcMar>
              <w:top w:w="0" w:type="dxa"/>
              <w:bottom w:w="0" w:type="dxa"/>
            </w:tcMar>
            <w:vAlign w:val="center"/>
          </w:tcPr>
          <w:p w14:paraId="0C84B95E" w14:textId="77777777" w:rsidR="00481AE5"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5AC7FFE6" w14:textId="77777777" w:rsidR="00481AE5" w:rsidRDefault="00000000">
            <w:pPr>
              <w:keepNext/>
              <w:keepLines/>
              <w:spacing w:after="0" w:line="240" w:lineRule="auto"/>
            </w:pPr>
            <w:r>
              <w:rPr>
                <w:sz w:val="18"/>
              </w:rPr>
              <w:t>02</w:t>
            </w:r>
          </w:p>
        </w:tc>
        <w:tc>
          <w:tcPr>
            <w:tcW w:w="1860" w:type="dxa"/>
            <w:tcMar>
              <w:top w:w="0" w:type="dxa"/>
              <w:bottom w:w="0" w:type="dxa"/>
            </w:tcMar>
            <w:vAlign w:val="center"/>
          </w:tcPr>
          <w:p w14:paraId="45B0EF99" w14:textId="77777777" w:rsidR="00481AE5" w:rsidRDefault="00000000">
            <w:pPr>
              <w:keepNext/>
              <w:keepLines/>
              <w:spacing w:after="0" w:line="240" w:lineRule="auto"/>
              <w:jc w:val="right"/>
            </w:pPr>
            <w:r>
              <w:rPr>
                <w:sz w:val="18"/>
              </w:rPr>
              <w:t>204.547.679,09</w:t>
            </w:r>
          </w:p>
        </w:tc>
        <w:tc>
          <w:tcPr>
            <w:tcW w:w="1860" w:type="dxa"/>
            <w:tcMar>
              <w:top w:w="0" w:type="dxa"/>
              <w:bottom w:w="0" w:type="dxa"/>
            </w:tcMar>
            <w:vAlign w:val="center"/>
          </w:tcPr>
          <w:p w14:paraId="2FE4A0A4" w14:textId="77777777" w:rsidR="00481AE5" w:rsidRDefault="00000000">
            <w:pPr>
              <w:keepNext/>
              <w:keepLines/>
              <w:spacing w:after="0" w:line="240" w:lineRule="auto"/>
              <w:jc w:val="right"/>
            </w:pPr>
            <w:r>
              <w:rPr>
                <w:sz w:val="18"/>
              </w:rPr>
              <w:t>203.335.771,23</w:t>
            </w:r>
          </w:p>
        </w:tc>
        <w:tc>
          <w:tcPr>
            <w:tcW w:w="700" w:type="dxa"/>
            <w:tcMar>
              <w:top w:w="0" w:type="dxa"/>
              <w:bottom w:w="0" w:type="dxa"/>
            </w:tcMar>
            <w:vAlign w:val="center"/>
          </w:tcPr>
          <w:p w14:paraId="70F3882B" w14:textId="77777777" w:rsidR="00481AE5" w:rsidRDefault="00000000">
            <w:pPr>
              <w:keepNext/>
              <w:keepLines/>
              <w:spacing w:after="0" w:line="240" w:lineRule="auto"/>
              <w:jc w:val="right"/>
            </w:pPr>
            <w:r>
              <w:rPr>
                <w:sz w:val="18"/>
              </w:rPr>
              <w:t>99,4</w:t>
            </w:r>
          </w:p>
        </w:tc>
      </w:tr>
    </w:tbl>
    <w:p w14:paraId="470AA08A" w14:textId="77777777" w:rsidR="00481AE5" w:rsidRDefault="00481AE5">
      <w:pPr>
        <w:spacing w:after="0"/>
      </w:pPr>
    </w:p>
    <w:p w14:paraId="7DBDA87E" w14:textId="77777777" w:rsidR="00481AE5" w:rsidRDefault="00000000">
      <w:r>
        <w:t>Imovina na području ribarske luke Gaženica u iznosu 4.254.948 eura stavljena je u upotrebu te su izvršena ulaganja u sanaciju Istarske obale u iznosu 161.261 eura.</w:t>
      </w:r>
    </w:p>
    <w:p w14:paraId="6FF5EC39" w14:textId="77777777" w:rsidR="00481AE5" w:rsidRDefault="00481AE5"/>
    <w:p w14:paraId="487429B0" w14:textId="77777777" w:rsidR="00481AE5"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140F35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701CD4"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0ECD55"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E7E0F6"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AE2838" w14:textId="77777777" w:rsidR="00481AE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49A091" w14:textId="77777777" w:rsidR="00481AE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A1CBAC" w14:textId="77777777" w:rsidR="00481AE5" w:rsidRDefault="00000000">
            <w:pPr>
              <w:keepNext/>
              <w:keepLines/>
              <w:spacing w:after="0" w:line="240" w:lineRule="auto"/>
              <w:jc w:val="center"/>
            </w:pPr>
            <w:r>
              <w:rPr>
                <w:b/>
                <w:sz w:val="18"/>
              </w:rPr>
              <w:t>Indeks (%)</w:t>
            </w:r>
          </w:p>
        </w:tc>
      </w:tr>
      <w:tr w:rsidR="00481AE5" w14:paraId="7EB4473E" w14:textId="77777777">
        <w:tblPrEx>
          <w:tblCellMar>
            <w:top w:w="0" w:type="dxa"/>
            <w:bottom w:w="0" w:type="dxa"/>
          </w:tblCellMar>
        </w:tblPrEx>
        <w:trPr>
          <w:cantSplit/>
          <w:trHeight w:val="560"/>
        </w:trPr>
        <w:tc>
          <w:tcPr>
            <w:tcW w:w="700" w:type="dxa"/>
            <w:tcMar>
              <w:top w:w="0" w:type="dxa"/>
              <w:bottom w:w="0" w:type="dxa"/>
            </w:tcMar>
            <w:vAlign w:val="center"/>
          </w:tcPr>
          <w:p w14:paraId="268A8CBC" w14:textId="77777777" w:rsidR="00481AE5" w:rsidRDefault="00000000">
            <w:pPr>
              <w:keepNext/>
              <w:keepLines/>
              <w:spacing w:after="0" w:line="240" w:lineRule="auto"/>
            </w:pPr>
            <w:r>
              <w:rPr>
                <w:sz w:val="18"/>
              </w:rPr>
              <w:t>05</w:t>
            </w:r>
          </w:p>
        </w:tc>
        <w:tc>
          <w:tcPr>
            <w:tcW w:w="3180" w:type="dxa"/>
            <w:tcMar>
              <w:top w:w="0" w:type="dxa"/>
              <w:bottom w:w="0" w:type="dxa"/>
            </w:tcMar>
            <w:vAlign w:val="center"/>
          </w:tcPr>
          <w:p w14:paraId="2C45C7D6" w14:textId="77777777" w:rsidR="00481AE5"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0C1037C9" w14:textId="77777777" w:rsidR="00481AE5" w:rsidRDefault="00000000">
            <w:pPr>
              <w:keepNext/>
              <w:keepLines/>
              <w:spacing w:after="0" w:line="240" w:lineRule="auto"/>
            </w:pPr>
            <w:r>
              <w:rPr>
                <w:sz w:val="18"/>
              </w:rPr>
              <w:t>05</w:t>
            </w:r>
          </w:p>
        </w:tc>
        <w:tc>
          <w:tcPr>
            <w:tcW w:w="1860" w:type="dxa"/>
            <w:tcMar>
              <w:top w:w="0" w:type="dxa"/>
              <w:bottom w:w="0" w:type="dxa"/>
            </w:tcMar>
            <w:vAlign w:val="center"/>
          </w:tcPr>
          <w:p w14:paraId="6538C1BB" w14:textId="77777777" w:rsidR="00481AE5" w:rsidRDefault="00000000">
            <w:pPr>
              <w:keepNext/>
              <w:keepLines/>
              <w:spacing w:after="0" w:line="240" w:lineRule="auto"/>
              <w:jc w:val="right"/>
            </w:pPr>
            <w:r>
              <w:rPr>
                <w:sz w:val="18"/>
              </w:rPr>
              <w:t>33.062.143,02</w:t>
            </w:r>
          </w:p>
        </w:tc>
        <w:tc>
          <w:tcPr>
            <w:tcW w:w="1860" w:type="dxa"/>
            <w:tcMar>
              <w:top w:w="0" w:type="dxa"/>
              <w:bottom w:w="0" w:type="dxa"/>
            </w:tcMar>
            <w:vAlign w:val="center"/>
          </w:tcPr>
          <w:p w14:paraId="4D6D071D" w14:textId="77777777" w:rsidR="00481AE5" w:rsidRDefault="00000000">
            <w:pPr>
              <w:keepNext/>
              <w:keepLines/>
              <w:spacing w:after="0" w:line="240" w:lineRule="auto"/>
              <w:jc w:val="right"/>
            </w:pPr>
            <w:r>
              <w:rPr>
                <w:sz w:val="18"/>
              </w:rPr>
              <w:t>32.778.566,71</w:t>
            </w:r>
          </w:p>
        </w:tc>
        <w:tc>
          <w:tcPr>
            <w:tcW w:w="700" w:type="dxa"/>
            <w:tcMar>
              <w:top w:w="0" w:type="dxa"/>
              <w:bottom w:w="0" w:type="dxa"/>
            </w:tcMar>
            <w:vAlign w:val="center"/>
          </w:tcPr>
          <w:p w14:paraId="6AB6B7C1" w14:textId="77777777" w:rsidR="00481AE5" w:rsidRDefault="00000000">
            <w:pPr>
              <w:keepNext/>
              <w:keepLines/>
              <w:spacing w:after="0" w:line="240" w:lineRule="auto"/>
              <w:jc w:val="right"/>
            </w:pPr>
            <w:r>
              <w:rPr>
                <w:sz w:val="18"/>
              </w:rPr>
              <w:t>99,1</w:t>
            </w:r>
          </w:p>
        </w:tc>
      </w:tr>
    </w:tbl>
    <w:p w14:paraId="651E1772" w14:textId="77777777" w:rsidR="00481AE5" w:rsidRDefault="00481AE5">
      <w:pPr>
        <w:spacing w:after="0"/>
      </w:pPr>
    </w:p>
    <w:p w14:paraId="4E766F6B" w14:textId="77777777" w:rsidR="00481AE5" w:rsidRDefault="00000000">
      <w:r>
        <w:t>U 2025. godini izvršena su ulaganja u građevinske objekte u pripremi u iznosu 3.971.372 eura kako slijedi: </w:t>
      </w:r>
    </w:p>
    <w:p w14:paraId="309D3124" w14:textId="77777777" w:rsidR="00481AE5" w:rsidRDefault="00000000">
      <w:r>
        <w:t>-           Ulaganja u sanaciju, rekonstrukciju i modernizaciju teretne luke Gaženica  – 3.819.884 eura</w:t>
      </w:r>
    </w:p>
    <w:p w14:paraId="197300AE" w14:textId="77777777" w:rsidR="00481AE5" w:rsidRDefault="00000000">
      <w:r>
        <w:t>-           Ulaganja u računalnu opremu u okviru projekta CYSCROMS u iznosu 87.528 eura</w:t>
      </w:r>
    </w:p>
    <w:p w14:paraId="6BEDDB71" w14:textId="77777777" w:rsidR="00481AE5" w:rsidRDefault="00000000">
      <w:r>
        <w:t>-           Ulaganja u opremu u svrhu uspostavljanja Sustava za mjerenje kvalitete zraka – 9.925 eura</w:t>
      </w:r>
    </w:p>
    <w:p w14:paraId="1F085BCA" w14:textId="77777777" w:rsidR="00481AE5" w:rsidRDefault="00000000">
      <w:r>
        <w:t>-           Ulaganja u izradu prostorno-programske studije urbane transformacije područja međunarodnog pristaništa na Istarskoj obali u iznosu 23.750 eura.</w:t>
      </w:r>
    </w:p>
    <w:p w14:paraId="1EB610DA" w14:textId="77777777" w:rsidR="00481AE5" w:rsidRDefault="00481AE5"/>
    <w:p w14:paraId="49B14513" w14:textId="77777777" w:rsidR="00481AE5"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237B5D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B3C77D"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F8DB3A"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FF3197"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1E2887" w14:textId="77777777" w:rsidR="00481AE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057F23" w14:textId="77777777" w:rsidR="00481AE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EB2F1D" w14:textId="77777777" w:rsidR="00481AE5" w:rsidRDefault="00000000">
            <w:pPr>
              <w:keepNext/>
              <w:keepLines/>
              <w:spacing w:after="0" w:line="240" w:lineRule="auto"/>
              <w:jc w:val="center"/>
            </w:pPr>
            <w:r>
              <w:rPr>
                <w:b/>
                <w:sz w:val="18"/>
              </w:rPr>
              <w:t>Indeks (%)</w:t>
            </w:r>
          </w:p>
        </w:tc>
      </w:tr>
      <w:tr w:rsidR="00481AE5" w14:paraId="285EE629" w14:textId="77777777">
        <w:tblPrEx>
          <w:tblCellMar>
            <w:top w:w="0" w:type="dxa"/>
            <w:bottom w:w="0" w:type="dxa"/>
          </w:tblCellMar>
        </w:tblPrEx>
        <w:trPr>
          <w:cantSplit/>
          <w:trHeight w:val="560"/>
        </w:trPr>
        <w:tc>
          <w:tcPr>
            <w:tcW w:w="700" w:type="dxa"/>
            <w:tcMar>
              <w:top w:w="0" w:type="dxa"/>
              <w:bottom w:w="0" w:type="dxa"/>
            </w:tcMar>
            <w:vAlign w:val="center"/>
          </w:tcPr>
          <w:p w14:paraId="4EC77B84" w14:textId="77777777" w:rsidR="00481AE5" w:rsidRDefault="00000000">
            <w:pPr>
              <w:keepNext/>
              <w:keepLines/>
              <w:spacing w:after="0" w:line="240" w:lineRule="auto"/>
            </w:pPr>
            <w:r>
              <w:rPr>
                <w:sz w:val="18"/>
              </w:rPr>
              <w:t>26</w:t>
            </w:r>
          </w:p>
        </w:tc>
        <w:tc>
          <w:tcPr>
            <w:tcW w:w="3180" w:type="dxa"/>
            <w:tcMar>
              <w:top w:w="0" w:type="dxa"/>
              <w:bottom w:w="0" w:type="dxa"/>
            </w:tcMar>
            <w:vAlign w:val="center"/>
          </w:tcPr>
          <w:p w14:paraId="55DA53B7" w14:textId="77777777" w:rsidR="00481AE5"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33CA6860" w14:textId="77777777" w:rsidR="00481AE5" w:rsidRDefault="00000000">
            <w:pPr>
              <w:keepNext/>
              <w:keepLines/>
              <w:spacing w:after="0" w:line="240" w:lineRule="auto"/>
            </w:pPr>
            <w:r>
              <w:rPr>
                <w:sz w:val="18"/>
              </w:rPr>
              <w:t>26</w:t>
            </w:r>
          </w:p>
        </w:tc>
        <w:tc>
          <w:tcPr>
            <w:tcW w:w="1860" w:type="dxa"/>
            <w:tcMar>
              <w:top w:w="0" w:type="dxa"/>
              <w:bottom w:w="0" w:type="dxa"/>
            </w:tcMar>
            <w:vAlign w:val="center"/>
          </w:tcPr>
          <w:p w14:paraId="7712FCFE" w14:textId="77777777" w:rsidR="00481AE5" w:rsidRDefault="00000000">
            <w:pPr>
              <w:keepNext/>
              <w:keepLines/>
              <w:spacing w:after="0" w:line="240" w:lineRule="auto"/>
              <w:jc w:val="right"/>
            </w:pPr>
            <w:r>
              <w:rPr>
                <w:sz w:val="18"/>
              </w:rPr>
              <w:t>48.062.101,40</w:t>
            </w:r>
          </w:p>
        </w:tc>
        <w:tc>
          <w:tcPr>
            <w:tcW w:w="1860" w:type="dxa"/>
            <w:tcMar>
              <w:top w:w="0" w:type="dxa"/>
              <w:bottom w:w="0" w:type="dxa"/>
            </w:tcMar>
            <w:vAlign w:val="center"/>
          </w:tcPr>
          <w:p w14:paraId="2E809F79" w14:textId="77777777" w:rsidR="00481AE5" w:rsidRDefault="00000000">
            <w:pPr>
              <w:keepNext/>
              <w:keepLines/>
              <w:spacing w:after="0" w:line="240" w:lineRule="auto"/>
              <w:jc w:val="right"/>
            </w:pPr>
            <w:r>
              <w:rPr>
                <w:sz w:val="18"/>
              </w:rPr>
              <w:t>44.300.000,10</w:t>
            </w:r>
          </w:p>
        </w:tc>
        <w:tc>
          <w:tcPr>
            <w:tcW w:w="700" w:type="dxa"/>
            <w:tcMar>
              <w:top w:w="0" w:type="dxa"/>
              <w:bottom w:w="0" w:type="dxa"/>
            </w:tcMar>
            <w:vAlign w:val="center"/>
          </w:tcPr>
          <w:p w14:paraId="1772C0E6" w14:textId="77777777" w:rsidR="00481AE5" w:rsidRDefault="00000000">
            <w:pPr>
              <w:keepNext/>
              <w:keepLines/>
              <w:spacing w:after="0" w:line="240" w:lineRule="auto"/>
              <w:jc w:val="right"/>
            </w:pPr>
            <w:r>
              <w:rPr>
                <w:sz w:val="18"/>
              </w:rPr>
              <w:t>92,2</w:t>
            </w:r>
          </w:p>
        </w:tc>
      </w:tr>
    </w:tbl>
    <w:p w14:paraId="5BB08BFC" w14:textId="77777777" w:rsidR="00481AE5" w:rsidRDefault="00481AE5">
      <w:pPr>
        <w:spacing w:after="0"/>
      </w:pPr>
    </w:p>
    <w:p w14:paraId="1EF71B44" w14:textId="77777777" w:rsidR="00481AE5" w:rsidRDefault="00000000">
      <w:r>
        <w:t>Ukupne obveze za kredite i zajmove Lučke uprave Zadar na dan 31.12.2025. godine iznose 44.300.000 eura i odnose se na obveze po zajmu Europske investicijske banke br. 24.093 kojim je izgrađena Nova luka Zadar, Gaženica.  </w:t>
      </w:r>
      <w:r>
        <w:br/>
        <w:t>Zajam Europske investicijske banke je izdan uz jamstvo Vlade Republike Hrvatske.</w:t>
      </w:r>
    </w:p>
    <w:p w14:paraId="08DDB595" w14:textId="77777777" w:rsidR="00481AE5" w:rsidRDefault="00481AE5"/>
    <w:p w14:paraId="3C8BB93F" w14:textId="77777777" w:rsidR="00481AE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81AE5" w14:paraId="7C8E4E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4E6E7E"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F1B1FC"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460510"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3CFBAB" w14:textId="77777777" w:rsidR="00481AE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8FCC8D" w14:textId="77777777" w:rsidR="00481AE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A7199C" w14:textId="77777777" w:rsidR="00481AE5" w:rsidRDefault="00000000">
            <w:pPr>
              <w:keepNext/>
              <w:keepLines/>
              <w:spacing w:after="0" w:line="240" w:lineRule="auto"/>
              <w:jc w:val="center"/>
            </w:pPr>
            <w:r>
              <w:rPr>
                <w:b/>
                <w:sz w:val="18"/>
              </w:rPr>
              <w:t>Indeks (%)</w:t>
            </w:r>
          </w:p>
        </w:tc>
      </w:tr>
      <w:tr w:rsidR="00481AE5" w14:paraId="758644C2" w14:textId="77777777">
        <w:tblPrEx>
          <w:tblCellMar>
            <w:top w:w="0" w:type="dxa"/>
            <w:bottom w:w="0" w:type="dxa"/>
          </w:tblCellMar>
        </w:tblPrEx>
        <w:trPr>
          <w:cantSplit/>
          <w:trHeight w:val="560"/>
        </w:trPr>
        <w:tc>
          <w:tcPr>
            <w:tcW w:w="700" w:type="dxa"/>
            <w:tcMar>
              <w:top w:w="0" w:type="dxa"/>
              <w:bottom w:w="0" w:type="dxa"/>
            </w:tcMar>
            <w:vAlign w:val="center"/>
          </w:tcPr>
          <w:p w14:paraId="7A5688B7" w14:textId="77777777" w:rsidR="00481AE5" w:rsidRDefault="00000000">
            <w:pPr>
              <w:keepNext/>
              <w:keepLines/>
              <w:spacing w:after="0" w:line="240" w:lineRule="auto"/>
            </w:pPr>
            <w:r>
              <w:rPr>
                <w:sz w:val="18"/>
              </w:rPr>
              <w:t>922</w:t>
            </w:r>
          </w:p>
        </w:tc>
        <w:tc>
          <w:tcPr>
            <w:tcW w:w="3180" w:type="dxa"/>
            <w:tcMar>
              <w:top w:w="0" w:type="dxa"/>
              <w:bottom w:w="0" w:type="dxa"/>
            </w:tcMar>
            <w:vAlign w:val="center"/>
          </w:tcPr>
          <w:p w14:paraId="64C7D5E1" w14:textId="77777777" w:rsidR="00481AE5"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1650D40" w14:textId="77777777" w:rsidR="00481AE5" w:rsidRDefault="00000000">
            <w:pPr>
              <w:keepNext/>
              <w:keepLines/>
              <w:spacing w:after="0" w:line="240" w:lineRule="auto"/>
            </w:pPr>
            <w:r>
              <w:rPr>
                <w:sz w:val="18"/>
              </w:rPr>
              <w:t>922</w:t>
            </w:r>
          </w:p>
        </w:tc>
        <w:tc>
          <w:tcPr>
            <w:tcW w:w="1860" w:type="dxa"/>
            <w:tcMar>
              <w:top w:w="0" w:type="dxa"/>
              <w:bottom w:w="0" w:type="dxa"/>
            </w:tcMar>
            <w:vAlign w:val="center"/>
          </w:tcPr>
          <w:p w14:paraId="7CBA3B65" w14:textId="77777777" w:rsidR="00481AE5" w:rsidRDefault="00000000">
            <w:pPr>
              <w:keepNext/>
              <w:keepLines/>
              <w:spacing w:after="0" w:line="240" w:lineRule="auto"/>
              <w:jc w:val="right"/>
            </w:pPr>
            <w:r>
              <w:rPr>
                <w:sz w:val="18"/>
              </w:rPr>
              <w:t>10.076.011,15</w:t>
            </w:r>
          </w:p>
        </w:tc>
        <w:tc>
          <w:tcPr>
            <w:tcW w:w="1860" w:type="dxa"/>
            <w:tcMar>
              <w:top w:w="0" w:type="dxa"/>
              <w:bottom w:w="0" w:type="dxa"/>
            </w:tcMar>
            <w:vAlign w:val="center"/>
          </w:tcPr>
          <w:p w14:paraId="0F858828" w14:textId="77777777" w:rsidR="00481AE5" w:rsidRDefault="00000000">
            <w:pPr>
              <w:keepNext/>
              <w:keepLines/>
              <w:spacing w:after="0" w:line="240" w:lineRule="auto"/>
              <w:jc w:val="right"/>
            </w:pPr>
            <w:r>
              <w:rPr>
                <w:sz w:val="18"/>
              </w:rPr>
              <w:t>9.682.464,08</w:t>
            </w:r>
          </w:p>
        </w:tc>
        <w:tc>
          <w:tcPr>
            <w:tcW w:w="700" w:type="dxa"/>
            <w:tcMar>
              <w:top w:w="0" w:type="dxa"/>
              <w:bottom w:w="0" w:type="dxa"/>
            </w:tcMar>
            <w:vAlign w:val="center"/>
          </w:tcPr>
          <w:p w14:paraId="10C520C1" w14:textId="77777777" w:rsidR="00481AE5" w:rsidRDefault="00000000">
            <w:pPr>
              <w:keepNext/>
              <w:keepLines/>
              <w:spacing w:after="0" w:line="240" w:lineRule="auto"/>
              <w:jc w:val="right"/>
            </w:pPr>
            <w:r>
              <w:rPr>
                <w:sz w:val="18"/>
              </w:rPr>
              <w:t>96,1</w:t>
            </w:r>
          </w:p>
        </w:tc>
      </w:tr>
    </w:tbl>
    <w:p w14:paraId="3B08AC9B" w14:textId="77777777" w:rsidR="00481AE5" w:rsidRDefault="00481AE5">
      <w:pPr>
        <w:spacing w:after="0"/>
      </w:pPr>
    </w:p>
    <w:p w14:paraId="56D27FF6" w14:textId="77777777" w:rsidR="00481AE5" w:rsidRDefault="00000000">
      <w:r>
        <w:t>Tijekom 2025. godine na računima kapitalnih prijenosa sredstava evidentirani su prihodi u iznosu 48.140,67 eura, koji su utrošeni za nabavu dugotrajne nefinancijske imovine.</w:t>
      </w:r>
    </w:p>
    <w:p w14:paraId="6483EF69" w14:textId="77777777" w:rsidR="00481AE5" w:rsidRDefault="00000000">
      <w:r>
        <w:t>Navedeni kapitalni prihodi utjecali su na rezultat od redovnog poslovanja, a nabavljena nefinancijska imovina na rezultat od nefinancijske imovine. </w:t>
      </w:r>
    </w:p>
    <w:p w14:paraId="34847054" w14:textId="77777777" w:rsidR="00481AE5" w:rsidRDefault="00000000">
      <w:r>
        <w:lastRenderedPageBreak/>
        <w:t>Provedena je korekcija rezultata na način da se za iznos od 48.140,67 eura zadužuje račun viška prihoda poslovanja, a odobrava račun manjka prihoda od nefinancijske imovine.</w:t>
      </w:r>
    </w:p>
    <w:p w14:paraId="57D6108B" w14:textId="77777777" w:rsidR="00481AE5" w:rsidRDefault="00481AE5"/>
    <w:p w14:paraId="4A459005" w14:textId="77777777" w:rsidR="00481AE5" w:rsidRDefault="00000000">
      <w:pPr>
        <w:keepNext/>
        <w:spacing w:line="240" w:lineRule="auto"/>
        <w:jc w:val="center"/>
      </w:pPr>
      <w:r>
        <w:rPr>
          <w:b/>
          <w:sz w:val="28"/>
        </w:rPr>
        <w:t>Izvještaj o obvezama</w:t>
      </w:r>
    </w:p>
    <w:p w14:paraId="69B2DC64" w14:textId="77777777" w:rsidR="00481AE5"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81AE5" w14:paraId="07137E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BDDA99" w14:textId="77777777" w:rsidR="00481AE5"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77D322" w14:textId="77777777" w:rsidR="00481AE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EB97FE" w14:textId="77777777" w:rsidR="00481AE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32C08B" w14:textId="77777777" w:rsidR="00481AE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11631A" w14:textId="77777777" w:rsidR="00481AE5" w:rsidRDefault="00000000">
            <w:pPr>
              <w:keepNext/>
              <w:keepLines/>
              <w:spacing w:after="0" w:line="240" w:lineRule="auto"/>
              <w:jc w:val="center"/>
            </w:pPr>
            <w:r>
              <w:rPr>
                <w:b/>
                <w:sz w:val="18"/>
              </w:rPr>
              <w:t>Indeks (%)</w:t>
            </w:r>
          </w:p>
        </w:tc>
      </w:tr>
      <w:tr w:rsidR="00481AE5" w14:paraId="1B3B71FF" w14:textId="77777777">
        <w:tblPrEx>
          <w:tblCellMar>
            <w:top w:w="0" w:type="dxa"/>
            <w:bottom w:w="0" w:type="dxa"/>
          </w:tblCellMar>
        </w:tblPrEx>
        <w:trPr>
          <w:cantSplit/>
          <w:trHeight w:val="560"/>
        </w:trPr>
        <w:tc>
          <w:tcPr>
            <w:tcW w:w="700" w:type="dxa"/>
            <w:tcMar>
              <w:top w:w="0" w:type="dxa"/>
              <w:bottom w:w="0" w:type="dxa"/>
            </w:tcMar>
            <w:vAlign w:val="center"/>
          </w:tcPr>
          <w:p w14:paraId="11E1A0CD" w14:textId="77777777" w:rsidR="00481AE5" w:rsidRDefault="00481AE5">
            <w:pPr>
              <w:keepNext/>
              <w:keepLines/>
              <w:spacing w:after="0" w:line="240" w:lineRule="auto"/>
            </w:pPr>
          </w:p>
        </w:tc>
        <w:tc>
          <w:tcPr>
            <w:tcW w:w="3180" w:type="dxa"/>
            <w:tcMar>
              <w:top w:w="0" w:type="dxa"/>
              <w:bottom w:w="0" w:type="dxa"/>
            </w:tcMar>
            <w:vAlign w:val="center"/>
          </w:tcPr>
          <w:p w14:paraId="17E294DE" w14:textId="77777777" w:rsidR="00481AE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A75CB8F" w14:textId="77777777" w:rsidR="00481AE5" w:rsidRDefault="00000000">
            <w:pPr>
              <w:keepNext/>
              <w:keepLines/>
              <w:spacing w:after="0" w:line="240" w:lineRule="auto"/>
            </w:pPr>
            <w:r>
              <w:rPr>
                <w:sz w:val="18"/>
              </w:rPr>
              <w:t>V007</w:t>
            </w:r>
          </w:p>
        </w:tc>
        <w:tc>
          <w:tcPr>
            <w:tcW w:w="1860" w:type="dxa"/>
            <w:tcMar>
              <w:top w:w="0" w:type="dxa"/>
              <w:bottom w:w="0" w:type="dxa"/>
            </w:tcMar>
            <w:vAlign w:val="center"/>
          </w:tcPr>
          <w:p w14:paraId="440F0EA8" w14:textId="77777777" w:rsidR="00481AE5" w:rsidRDefault="00000000">
            <w:pPr>
              <w:keepNext/>
              <w:keepLines/>
              <w:spacing w:after="0" w:line="240" w:lineRule="auto"/>
              <w:jc w:val="right"/>
            </w:pPr>
            <w:r>
              <w:rPr>
                <w:sz w:val="18"/>
              </w:rPr>
              <w:t>0,00</w:t>
            </w:r>
          </w:p>
        </w:tc>
        <w:tc>
          <w:tcPr>
            <w:tcW w:w="700" w:type="dxa"/>
            <w:tcMar>
              <w:top w:w="0" w:type="dxa"/>
              <w:bottom w:w="0" w:type="dxa"/>
            </w:tcMar>
            <w:vAlign w:val="center"/>
          </w:tcPr>
          <w:p w14:paraId="10B2177B" w14:textId="77777777" w:rsidR="00481AE5" w:rsidRDefault="00000000">
            <w:pPr>
              <w:keepNext/>
              <w:keepLines/>
              <w:spacing w:after="0" w:line="240" w:lineRule="auto"/>
              <w:jc w:val="right"/>
            </w:pPr>
            <w:r>
              <w:rPr>
                <w:sz w:val="18"/>
              </w:rPr>
              <w:t>-</w:t>
            </w:r>
          </w:p>
        </w:tc>
      </w:tr>
    </w:tbl>
    <w:p w14:paraId="529112D6" w14:textId="77777777" w:rsidR="00481AE5" w:rsidRDefault="00481AE5">
      <w:pPr>
        <w:spacing w:after="0"/>
      </w:pPr>
    </w:p>
    <w:p w14:paraId="228C755C" w14:textId="77777777" w:rsidR="00481AE5" w:rsidRDefault="00000000">
      <w:r>
        <w:t xml:space="preserve">U Izvještaju o obvezama utvrđeni iznos obveza na dan 31.12.2025.godine (V006) iznosi 44.924.240 eura, a obuhvaća: • obveze za plaću za listopad koja će biti isplaćena u srpnju 2025. u iznosu 127.777 eura • obveze za materijalne rashode u iznosu 125.057 eura •   obveze za predujmove, depozite, </w:t>
      </w:r>
      <w:proofErr w:type="spellStart"/>
      <w:r>
        <w:t>jamčevne</w:t>
      </w:r>
      <w:proofErr w:type="spellEnd"/>
      <w:r>
        <w:t xml:space="preserve"> </w:t>
      </w:r>
      <w:proofErr w:type="spellStart"/>
      <w:r>
        <w:t>pologe</w:t>
      </w:r>
      <w:proofErr w:type="spellEnd"/>
      <w:r>
        <w:t xml:space="preserve"> i tuđe prihode u iznosu 61.730 eura •  obveze za nabavu proizvedene dugotrajne imovine u iznosu 287.158 eura • obveze za kredite i zajmove u iznosu 44.300.000 eura (saldo zajma Europske investicijske banke).</w:t>
      </w:r>
    </w:p>
    <w:p w14:paraId="017F0731" w14:textId="77777777" w:rsidR="00481AE5" w:rsidRDefault="00000000">
      <w:r>
        <w:t>Na kraju izvještajnog razdoblja nisu evidentirane dospjele obveze niti prekoračenja rokova plaćanja obveza.</w:t>
      </w:r>
    </w:p>
    <w:p w14:paraId="0143A232" w14:textId="77777777" w:rsidR="00481AE5" w:rsidRDefault="00481AE5"/>
    <w:p w14:paraId="1AB1FEE8" w14:textId="77777777" w:rsidR="00481AE5" w:rsidRDefault="00000000">
      <w:pPr>
        <w:keepNext/>
        <w:spacing w:line="240" w:lineRule="auto"/>
        <w:jc w:val="center"/>
      </w:pPr>
      <w:r>
        <w:rPr>
          <w:sz w:val="28"/>
        </w:rPr>
        <w:t>Bilješka 18.</w:t>
      </w:r>
    </w:p>
    <w:p w14:paraId="398CC5BC" w14:textId="77777777" w:rsidR="00481AE5" w:rsidRDefault="00000000">
      <w:pPr>
        <w:spacing w:line="240" w:lineRule="auto"/>
        <w:jc w:val="both"/>
      </w:pPr>
      <w:r>
        <w:rPr>
          <w:b/>
        </w:rPr>
        <w:t>EU izvještaj</w:t>
      </w:r>
    </w:p>
    <w:p w14:paraId="688A985F" w14:textId="77777777" w:rsidR="00481AE5" w:rsidRDefault="00000000">
      <w:r>
        <w:t>EU izvještaj se podnosi za projekte Program konkurentnost i kohezija  2021.-2027. (izvor 563) te projekt Kibernetička sigurnost u hrvatskom pomorskom prometu - CYSCROMS (izvor 51000).</w:t>
      </w:r>
    </w:p>
    <w:p w14:paraId="28045938" w14:textId="77777777" w:rsidR="00481AE5" w:rsidRDefault="00000000">
      <w:r>
        <w:t>Projekt Program konkurentnost i kohezija  2021.-2027. započeo je u veljači 2025. godine. U okviru projekta izvršeni su rashodi za zaposlene na projektu te usluge vanjske podrške u administrativnom i financijskom upravljanju projektom.</w:t>
      </w:r>
    </w:p>
    <w:p w14:paraId="49DF719D" w14:textId="77777777" w:rsidR="00481AE5" w:rsidRDefault="00000000">
      <w:r>
        <w:t>Financijska realizacija projekta Kibernetička sigurnost u hrvatskom pomorskom prometu - CYSCROMS započela je u 2025. godini. Od izvršenih rashoda najznačajniji se odnosi na ulaganje u računalnu opremu.</w:t>
      </w:r>
    </w:p>
    <w:p w14:paraId="1C167DB0" w14:textId="77777777" w:rsidR="00481AE5" w:rsidRDefault="00000000">
      <w:r>
        <w:t> </w:t>
      </w:r>
    </w:p>
    <w:p w14:paraId="25E080C3" w14:textId="77777777" w:rsidR="00481AE5" w:rsidRDefault="00481AE5"/>
    <w:sectPr w:rsidR="00481A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E5"/>
    <w:rsid w:val="003F66F1"/>
    <w:rsid w:val="00481AE5"/>
    <w:rsid w:val="005738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52A4"/>
  <w15:docId w15:val="{BBC5B6AE-E251-4354-AC21-3D9454A2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2260</Words>
  <Characters>12886</Characters>
  <Application>Microsoft Office Word</Application>
  <DocSecurity>0</DocSecurity>
  <Lines>107</Lines>
  <Paragraphs>30</Paragraphs>
  <ScaleCrop>false</ScaleCrop>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 roncevic</cp:lastModifiedBy>
  <cp:revision>2</cp:revision>
  <dcterms:created xsi:type="dcterms:W3CDTF">2026-02-12T08:38:00Z</dcterms:created>
  <dcterms:modified xsi:type="dcterms:W3CDTF">2026-02-12T08:38:00Z</dcterms:modified>
</cp:coreProperties>
</file>